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28D01" w14:textId="6CDD303C" w:rsidR="00E90E49" w:rsidRPr="00B73E48" w:rsidRDefault="00E90E49" w:rsidP="00E35559">
      <w:pPr>
        <w:pStyle w:val="3GPPHeader"/>
        <w:spacing w:after="60"/>
        <w:rPr>
          <w:sz w:val="32"/>
          <w:szCs w:val="32"/>
        </w:rPr>
      </w:pPr>
      <w:r w:rsidRPr="00B73E48">
        <w:t>3GPP TSG-RAN WG</w:t>
      </w:r>
      <w:r w:rsidR="008F1C4E" w:rsidRPr="00B73E48">
        <w:t>1</w:t>
      </w:r>
      <w:r w:rsidRPr="00B73E48">
        <w:t xml:space="preserve"> </w:t>
      </w:r>
      <w:r w:rsidR="008F1C4E" w:rsidRPr="00B73E48">
        <w:t xml:space="preserve">Meeting </w:t>
      </w:r>
      <w:r w:rsidRPr="00B73E48">
        <w:t>#</w:t>
      </w:r>
      <w:r w:rsidR="00B73E48" w:rsidRPr="00B73E48">
        <w:t>94</w:t>
      </w:r>
      <w:r w:rsidRPr="00B73E48">
        <w:tab/>
      </w:r>
      <w:proofErr w:type="spellStart"/>
      <w:r w:rsidRPr="00B73E48">
        <w:rPr>
          <w:sz w:val="32"/>
          <w:szCs w:val="32"/>
        </w:rPr>
        <w:t>Tdoc</w:t>
      </w:r>
      <w:proofErr w:type="spellEnd"/>
      <w:r w:rsidRPr="00B73E48">
        <w:rPr>
          <w:sz w:val="32"/>
          <w:szCs w:val="32"/>
        </w:rPr>
        <w:t xml:space="preserve"> </w:t>
      </w:r>
      <w:r w:rsidR="00091557" w:rsidRPr="00B73E48">
        <w:rPr>
          <w:sz w:val="32"/>
          <w:szCs w:val="32"/>
        </w:rPr>
        <w:t>R</w:t>
      </w:r>
      <w:r w:rsidR="008F1C4E" w:rsidRPr="00B73E48">
        <w:rPr>
          <w:sz w:val="32"/>
          <w:szCs w:val="32"/>
        </w:rPr>
        <w:t>1</w:t>
      </w:r>
      <w:r w:rsidR="00091557" w:rsidRPr="00B73E48">
        <w:rPr>
          <w:sz w:val="32"/>
          <w:szCs w:val="32"/>
        </w:rPr>
        <w:t>-</w:t>
      </w:r>
      <w:r w:rsidR="00B30C45" w:rsidRPr="00B30C45">
        <w:rPr>
          <w:sz w:val="32"/>
          <w:szCs w:val="32"/>
        </w:rPr>
        <w:t>1808985</w:t>
      </w:r>
    </w:p>
    <w:p w14:paraId="0D584B57" w14:textId="7CD84E97" w:rsidR="00E90E49" w:rsidRPr="00B73E48" w:rsidRDefault="00B73E48" w:rsidP="00311702">
      <w:pPr>
        <w:pStyle w:val="3GPPHeader"/>
      </w:pPr>
      <w:r w:rsidRPr="00B73E48">
        <w:t>Gothenburg, Sweden</w:t>
      </w:r>
      <w:r w:rsidR="0027144F" w:rsidRPr="00B73E48">
        <w:t xml:space="preserve">, </w:t>
      </w:r>
      <w:r w:rsidRPr="00B73E48">
        <w:t>20</w:t>
      </w:r>
      <w:r w:rsidRPr="00B73E48">
        <w:rPr>
          <w:vertAlign w:val="superscript"/>
        </w:rPr>
        <w:t>th</w:t>
      </w:r>
      <w:r w:rsidRPr="00B73E48">
        <w:t xml:space="preserve"> – 24</w:t>
      </w:r>
      <w:r w:rsidRPr="00B73E48">
        <w:rPr>
          <w:vertAlign w:val="superscript"/>
        </w:rPr>
        <w:t>th</w:t>
      </w:r>
      <w:r w:rsidRPr="00B73E48">
        <w:t xml:space="preserve"> </w:t>
      </w:r>
      <w:r w:rsidR="00C729E3" w:rsidRPr="00B73E48">
        <w:t>August</w:t>
      </w:r>
      <w:r w:rsidR="00C37CB2" w:rsidRPr="00B73E48">
        <w:t xml:space="preserve"> </w:t>
      </w:r>
      <w:r w:rsidR="0027144F" w:rsidRPr="00B73E48">
        <w:t>20</w:t>
      </w:r>
      <w:r w:rsidR="005F3025" w:rsidRPr="00B73E48">
        <w:t>1</w:t>
      </w:r>
      <w:r w:rsidR="001D53E7" w:rsidRPr="00B73E48">
        <w:t>8</w:t>
      </w:r>
    </w:p>
    <w:p w14:paraId="0F4EF258" w14:textId="77777777" w:rsidR="00E90E49" w:rsidRPr="00B73E48" w:rsidRDefault="00E90E49" w:rsidP="00357380">
      <w:pPr>
        <w:pStyle w:val="3GPPHeader"/>
      </w:pPr>
    </w:p>
    <w:p w14:paraId="62B3D41C" w14:textId="286C02B4" w:rsidR="00E90E49" w:rsidRPr="00B73E48" w:rsidRDefault="00E90E49" w:rsidP="00311702">
      <w:pPr>
        <w:pStyle w:val="3GPPHeader"/>
        <w:rPr>
          <w:sz w:val="22"/>
          <w:szCs w:val="22"/>
          <w:lang w:val="sv-FI"/>
        </w:rPr>
      </w:pPr>
      <w:r w:rsidRPr="00B73E48">
        <w:rPr>
          <w:sz w:val="22"/>
          <w:szCs w:val="22"/>
          <w:lang w:val="sv-FI"/>
        </w:rPr>
        <w:t>Agenda Item:</w:t>
      </w:r>
      <w:r w:rsidRPr="00B73E48">
        <w:rPr>
          <w:sz w:val="22"/>
          <w:szCs w:val="22"/>
          <w:lang w:val="sv-FI"/>
        </w:rPr>
        <w:tab/>
      </w:r>
      <w:r w:rsidR="00B73E48" w:rsidRPr="00B73E48">
        <w:rPr>
          <w:sz w:val="22"/>
          <w:szCs w:val="22"/>
          <w:lang w:val="sv-FI"/>
        </w:rPr>
        <w:t>6.</w:t>
      </w:r>
      <w:r w:rsidR="00D51EC6">
        <w:rPr>
          <w:sz w:val="22"/>
          <w:szCs w:val="22"/>
          <w:lang w:val="sv-FI"/>
        </w:rPr>
        <w:t>1.4.2</w:t>
      </w:r>
    </w:p>
    <w:p w14:paraId="27DD3494" w14:textId="77777777" w:rsidR="00E90E49" w:rsidRPr="00B73E48" w:rsidRDefault="003D3C45" w:rsidP="00F64C2B">
      <w:pPr>
        <w:pStyle w:val="3GPPHeader"/>
        <w:rPr>
          <w:sz w:val="22"/>
          <w:szCs w:val="22"/>
        </w:rPr>
      </w:pPr>
      <w:r w:rsidRPr="00B73E48">
        <w:rPr>
          <w:sz w:val="22"/>
          <w:szCs w:val="22"/>
        </w:rPr>
        <w:t>Source:</w:t>
      </w:r>
      <w:r w:rsidR="00E90E49" w:rsidRPr="00B73E48">
        <w:rPr>
          <w:sz w:val="22"/>
          <w:szCs w:val="22"/>
        </w:rPr>
        <w:tab/>
      </w:r>
      <w:r w:rsidR="00F64C2B" w:rsidRPr="00B73E48">
        <w:rPr>
          <w:sz w:val="22"/>
          <w:szCs w:val="22"/>
        </w:rPr>
        <w:t>Ericsson</w:t>
      </w:r>
    </w:p>
    <w:p w14:paraId="6C36D5A6" w14:textId="487B1414" w:rsidR="00E90E49" w:rsidRPr="00B73E48" w:rsidRDefault="003D3C45" w:rsidP="00311702">
      <w:pPr>
        <w:pStyle w:val="3GPPHeader"/>
        <w:rPr>
          <w:sz w:val="22"/>
          <w:szCs w:val="22"/>
        </w:rPr>
      </w:pPr>
      <w:r w:rsidRPr="00B73E48">
        <w:rPr>
          <w:sz w:val="22"/>
          <w:szCs w:val="22"/>
        </w:rPr>
        <w:t>Title:</w:t>
      </w:r>
      <w:r w:rsidR="00E90E49" w:rsidRPr="00B73E48">
        <w:rPr>
          <w:sz w:val="22"/>
          <w:szCs w:val="22"/>
        </w:rPr>
        <w:tab/>
      </w:r>
      <w:r w:rsidR="00D51EC6" w:rsidRPr="00D51EC6">
        <w:rPr>
          <w:sz w:val="22"/>
          <w:szCs w:val="22"/>
        </w:rPr>
        <w:t>Maintenance issues for Early data transmission for Rel-15 LTE-MTC</w:t>
      </w:r>
    </w:p>
    <w:p w14:paraId="0EAF30E0" w14:textId="59E7D3B4" w:rsidR="00E90E49" w:rsidRPr="00CE0424" w:rsidRDefault="00E90E49" w:rsidP="00D546FF">
      <w:pPr>
        <w:pStyle w:val="3GPPHeader"/>
        <w:rPr>
          <w:sz w:val="22"/>
          <w:szCs w:val="22"/>
        </w:rPr>
      </w:pPr>
      <w:r w:rsidRPr="00B73E48">
        <w:rPr>
          <w:sz w:val="22"/>
          <w:szCs w:val="22"/>
        </w:rPr>
        <w:t>Document for:</w:t>
      </w:r>
      <w:r w:rsidRPr="00B73E48">
        <w:rPr>
          <w:sz w:val="22"/>
          <w:szCs w:val="22"/>
        </w:rPr>
        <w:tab/>
      </w:r>
      <w:r w:rsidR="00F107DD">
        <w:rPr>
          <w:sz w:val="22"/>
          <w:szCs w:val="22"/>
        </w:rPr>
        <w:t xml:space="preserve">Discussion and </w:t>
      </w:r>
      <w:bookmarkStart w:id="0" w:name="_GoBack"/>
      <w:bookmarkEnd w:id="0"/>
      <w:r w:rsidR="00D51EC6">
        <w:rPr>
          <w:sz w:val="22"/>
          <w:szCs w:val="22"/>
        </w:rPr>
        <w:t>Decision</w:t>
      </w:r>
    </w:p>
    <w:p w14:paraId="71F2C6AE" w14:textId="77777777" w:rsidR="00E90E49" w:rsidRPr="00CE0424" w:rsidRDefault="00E90E49" w:rsidP="00E90E49"/>
    <w:p w14:paraId="558E7FC7" w14:textId="140F47CC" w:rsidR="005261F1" w:rsidRDefault="00BB50CA" w:rsidP="00BB50CA">
      <w:pPr>
        <w:pStyle w:val="Heading1"/>
      </w:pPr>
      <w:r>
        <w:t>1</w:t>
      </w:r>
      <w:r w:rsidR="00997E10">
        <w:tab/>
        <w:t>Missing specification of n</w:t>
      </w:r>
      <w:r>
        <w:t xml:space="preserve">umber of </w:t>
      </w:r>
      <w:r w:rsidR="00997E10">
        <w:t xml:space="preserve">PUSCH </w:t>
      </w:r>
      <w:r>
        <w:t xml:space="preserve">repetitions for </w:t>
      </w:r>
      <w:r w:rsidR="00997E10">
        <w:t xml:space="preserve">EDT Msg3 </w:t>
      </w:r>
      <w:r>
        <w:t>retransmissions</w:t>
      </w:r>
      <w:r w:rsidR="00981F1D">
        <w:t xml:space="preserve"> (36.213)</w:t>
      </w:r>
    </w:p>
    <w:p w14:paraId="28FFE634" w14:textId="319F6B56" w:rsidR="00BB50CA" w:rsidRDefault="009201D6" w:rsidP="00BB50CA">
      <w:pPr>
        <w:rPr>
          <w:rFonts w:ascii="Arial" w:hAnsi="Arial" w:cs="Arial"/>
        </w:rPr>
      </w:pPr>
      <w:hyperlink r:id="rId8" w:history="1">
        <w:r w:rsidR="00BB50CA" w:rsidRPr="00D40665">
          <w:rPr>
            <w:rStyle w:val="Hyperlink"/>
            <w:rFonts w:ascii="Arial" w:hAnsi="Arial" w:cs="Arial"/>
          </w:rPr>
          <w:t>36.213</w:t>
        </w:r>
        <w:r w:rsidR="00D40665" w:rsidRPr="00D40665">
          <w:rPr>
            <w:rStyle w:val="Hyperlink"/>
            <w:rFonts w:ascii="Arial" w:hAnsi="Arial" w:cs="Arial"/>
          </w:rPr>
          <w:t xml:space="preserve"> V15.2.0</w:t>
        </w:r>
      </w:hyperlink>
      <w:r w:rsidR="00BB50CA">
        <w:rPr>
          <w:rFonts w:ascii="Arial" w:hAnsi="Arial" w:cs="Arial"/>
        </w:rPr>
        <w:t xml:space="preserve"> section 6.2 specifies the number of PUSCH repetitions for the initial EDT Msg3 transmission, but there is no corresponding specification text for the number of PUSCH repetitions for the EDT Msg3 retransmissions. This needs to be specified in 36.213</w:t>
      </w:r>
      <w:r w:rsidR="00D6741B">
        <w:rPr>
          <w:rFonts w:ascii="Arial" w:hAnsi="Arial" w:cs="Arial"/>
        </w:rPr>
        <w:t>, e.g. somewhere in</w:t>
      </w:r>
      <w:r w:rsidR="00BB50CA">
        <w:rPr>
          <w:rFonts w:ascii="Arial" w:hAnsi="Arial" w:cs="Arial"/>
        </w:rPr>
        <w:t xml:space="preserve"> section 8.6.</w:t>
      </w:r>
    </w:p>
    <w:p w14:paraId="296AB4F3" w14:textId="4E35661C" w:rsidR="00BB50CA" w:rsidRDefault="00EC3368" w:rsidP="00BB50CA">
      <w:pPr>
        <w:rPr>
          <w:rFonts w:ascii="Arial" w:hAnsi="Arial" w:cs="Arial"/>
        </w:rPr>
      </w:pPr>
      <w:r>
        <w:rPr>
          <w:rFonts w:ascii="Arial" w:hAnsi="Arial" w:cs="Arial"/>
        </w:rPr>
        <w:t>For comparison, it can be noted that for NB-IoT,</w:t>
      </w:r>
      <w:r w:rsidR="00BB50CA">
        <w:rPr>
          <w:rFonts w:ascii="Arial" w:hAnsi="Arial" w:cs="Arial"/>
        </w:rPr>
        <w:t xml:space="preserve"> the number of NPUSCH repetitions for the initial EDT Msg3 transmission is specified in 36.213 section 16.3.3 and the number of NPUSCH repetitions for the EDT Msg3 retransmissions is specified in 36.213 section</w:t>
      </w:r>
      <w:r w:rsidR="00D6741B">
        <w:rPr>
          <w:rFonts w:ascii="Arial" w:hAnsi="Arial" w:cs="Arial"/>
        </w:rPr>
        <w:t xml:space="preserve"> </w:t>
      </w:r>
      <w:r w:rsidR="00D6741B" w:rsidRPr="00D6741B">
        <w:rPr>
          <w:rFonts w:ascii="Arial" w:hAnsi="Arial" w:cs="Arial"/>
        </w:rPr>
        <w:t>16.5.1.2</w:t>
      </w:r>
      <w:r w:rsidR="00BB50CA">
        <w:rPr>
          <w:rFonts w:ascii="Arial" w:hAnsi="Arial" w:cs="Arial"/>
        </w:rPr>
        <w:t>.</w:t>
      </w:r>
    </w:p>
    <w:p w14:paraId="08B2FE2A" w14:textId="39C08AD0" w:rsidR="00BB50CA" w:rsidRPr="00A04F49" w:rsidRDefault="009A2491" w:rsidP="00BB50CA">
      <w:pPr>
        <w:pStyle w:val="Proposal"/>
      </w:pPr>
      <w:bookmarkStart w:id="1" w:name="_Toc347823621"/>
      <w:bookmarkStart w:id="2" w:name="_Toc347824073"/>
      <w:bookmarkStart w:id="3" w:name="_Toc347824246"/>
      <w:bookmarkStart w:id="4" w:name="_Toc509923397"/>
      <w:r>
        <w:t>In 36.213, s</w:t>
      </w:r>
      <w:r w:rsidR="00582B5A">
        <w:t>pecify the number of PUSCH repetition for EDT Msg3 retransmissions</w:t>
      </w:r>
      <w:r w:rsidR="00BB50CA" w:rsidRPr="00A04F49">
        <w:t>.</w:t>
      </w:r>
      <w:bookmarkEnd w:id="1"/>
      <w:bookmarkEnd w:id="2"/>
      <w:bookmarkEnd w:id="3"/>
      <w:bookmarkEnd w:id="4"/>
    </w:p>
    <w:p w14:paraId="135EF881" w14:textId="552F87FF" w:rsidR="00BB50CA" w:rsidRDefault="00144F6B" w:rsidP="00BB50CA">
      <w:pPr>
        <w:pStyle w:val="Heading1"/>
      </w:pPr>
      <w:bookmarkStart w:id="5" w:name="_In-sequence_SDU_delivery"/>
      <w:bookmarkEnd w:id="5"/>
      <w:r>
        <w:t>2</w:t>
      </w:r>
      <w:r>
        <w:tab/>
        <w:t>New PUSCH repetition numbers for EDT Msg3</w:t>
      </w:r>
      <w:r w:rsidR="00BB50CA">
        <w:t xml:space="preserve"> </w:t>
      </w:r>
      <w:r w:rsidR="00981F1D">
        <w:t>(36.213)</w:t>
      </w:r>
    </w:p>
    <w:p w14:paraId="4E1E7B19" w14:textId="232AA0F9" w:rsidR="006702FC" w:rsidRDefault="00144F6B" w:rsidP="00BB50CA">
      <w:pPr>
        <w:pStyle w:val="BodyText"/>
      </w:pPr>
      <w:r>
        <w:t xml:space="preserve">RAN1#93 agreed that when the UE selects a smaller TBS for EDT Msg3 than the maximum TBS indicated in SIB for the PRACH CE level, the UE should scale down the number of PUSCH repetitions for EDT Msg3 proportionally to the nearest equal or higher legacy repetition number. </w:t>
      </w:r>
      <w:r w:rsidR="006702FC">
        <w:t xml:space="preserve">This agreement is implemented in 36.213 section 6.2 and the repetition number range is </w:t>
      </w:r>
      <w:r w:rsidR="006702FC" w:rsidRPr="006702FC">
        <w:t>{1, 2, 4, 8, 16, 32, 64, 128, 192, 256, 384, 512, 768, 1024, 1536, 2048}</w:t>
      </w:r>
      <w:r w:rsidR="006702FC">
        <w:t>.</w:t>
      </w:r>
    </w:p>
    <w:p w14:paraId="7E505EF4" w14:textId="25AB9587" w:rsidR="006702FC" w:rsidRDefault="00144F6B" w:rsidP="00BB50CA">
      <w:pPr>
        <w:pStyle w:val="BodyText"/>
      </w:pPr>
      <w:r>
        <w:t xml:space="preserve">RAN1#93 also agreed that </w:t>
      </w:r>
      <w:r w:rsidR="00EC3368">
        <w:t>other</w:t>
      </w:r>
      <w:r>
        <w:t xml:space="preserve"> repetition factors</w:t>
      </w:r>
      <w:r w:rsidR="00EC3368">
        <w:t xml:space="preserve"> than the legacy repetition factors</w:t>
      </w:r>
      <w:r>
        <w:t xml:space="preserve"> can be considered during the CR phase.</w:t>
      </w:r>
      <w:r w:rsidR="006702FC">
        <w:t xml:space="preserve"> Since the granularity of the legacy repetition factors is rather coarse,</w:t>
      </w:r>
      <w:r w:rsidR="0003472E">
        <w:t xml:space="preserve"> which can have a detrimental effect on UE power consumption</w:t>
      </w:r>
      <w:r w:rsidR="006702FC">
        <w:t xml:space="preserve"> we are open to consider a finer granularity, e.g. in steps of </w:t>
      </w:r>
      <w:proofErr w:type="spellStart"/>
      <w:r w:rsidR="006702FC">
        <w:t>N</w:t>
      </w:r>
      <w:r w:rsidR="006702FC" w:rsidRPr="00421E88">
        <w:rPr>
          <w:vertAlign w:val="subscript"/>
        </w:rPr>
        <w:t>acc</w:t>
      </w:r>
      <w:proofErr w:type="spellEnd"/>
      <w:r w:rsidR="00FB1878">
        <w:t>, which means 1 subframe in CE mode A and 4 or 5 subframes in CE mode B (for FDD and TDD, respectively).</w:t>
      </w:r>
    </w:p>
    <w:p w14:paraId="02C3501B" w14:textId="37CA8E9E" w:rsidR="00981F1D" w:rsidRDefault="00F20D28" w:rsidP="00981F1D">
      <w:pPr>
        <w:pStyle w:val="Proposal"/>
      </w:pPr>
      <w:r>
        <w:t>In 36.213, s</w:t>
      </w:r>
      <w:r w:rsidR="005F6C6A">
        <w:t xml:space="preserve">pecify a finer granularity for the down-scaling of the number of PUSCH repetitions for EDT Msg3, for example in steps of </w:t>
      </w:r>
      <w:proofErr w:type="spellStart"/>
      <w:r w:rsidR="005F6C6A">
        <w:t>N</w:t>
      </w:r>
      <w:r w:rsidR="005F6C6A" w:rsidRPr="00421E88">
        <w:rPr>
          <w:vertAlign w:val="subscript"/>
        </w:rPr>
        <w:t>acc</w:t>
      </w:r>
      <w:proofErr w:type="spellEnd"/>
      <w:r w:rsidR="005F6C6A">
        <w:t>, i.e. 1 subframe in CE mode A and 4 or 5 subframes in CE mode B (for FDD and TDD, respectively)</w:t>
      </w:r>
      <w:r w:rsidR="005F6C6A" w:rsidRPr="00A04F49">
        <w:t>.</w:t>
      </w:r>
    </w:p>
    <w:p w14:paraId="02BD75BF" w14:textId="48F338E5" w:rsidR="00981F1D" w:rsidRDefault="00E1277B" w:rsidP="00981F1D">
      <w:pPr>
        <w:pStyle w:val="Heading1"/>
      </w:pPr>
      <w:r>
        <w:t>3</w:t>
      </w:r>
      <w:r w:rsidR="00981F1D">
        <w:tab/>
      </w:r>
      <w:r w:rsidR="00187F35">
        <w:t xml:space="preserve">Clarifications of EDT TBS tables </w:t>
      </w:r>
      <w:r w:rsidR="00981F1D">
        <w:t>(36.213)</w:t>
      </w:r>
    </w:p>
    <w:p w14:paraId="0B4359DC" w14:textId="1A0ED73A" w:rsidR="00E1277B" w:rsidRDefault="00E1277B" w:rsidP="00E1277B">
      <w:pPr>
        <w:pStyle w:val="BodyText"/>
      </w:pPr>
      <w:r w:rsidRPr="00E1277B">
        <w:t>36.213 section 8.6.2</w:t>
      </w:r>
      <w:r>
        <w:t xml:space="preserve"> </w:t>
      </w:r>
      <w:r w:rsidR="00187F35">
        <w:t>has</w:t>
      </w:r>
      <w:r w:rsidRPr="00E1277B">
        <w:t xml:space="preserve"> Tables 8.6.2-1 and 8.6.2-2</w:t>
      </w:r>
      <w:r w:rsidR="00187F35">
        <w:t xml:space="preserve"> which contains the EDT TBS value</w:t>
      </w:r>
      <w:r w:rsidR="00322E93">
        <w:t xml:space="preserve">s for the case when higher layer parameter </w:t>
      </w:r>
      <w:r w:rsidR="00322E93" w:rsidRPr="00322E93">
        <w:rPr>
          <w:i/>
        </w:rPr>
        <w:t>edt-smallTBS-Enabled-r15</w:t>
      </w:r>
      <w:r w:rsidR="00322E93">
        <w:t xml:space="preserve"> is configured. This is specified in the text, but the readability of the section can be improved if the table headings are modified as shown below. Also, the tables </w:t>
      </w:r>
      <w:r w:rsidR="002166FE">
        <w:t>are</w:t>
      </w:r>
      <w:r w:rsidR="00322E93">
        <w:t xml:space="preserve"> missing some commas and a space character in some table entries.</w:t>
      </w:r>
    </w:p>
    <w:p w14:paraId="4021D387" w14:textId="6CBCB25D" w:rsidR="00187F35" w:rsidRDefault="00187F35" w:rsidP="00E1277B">
      <w:pPr>
        <w:pStyle w:val="BodyText"/>
      </w:pPr>
    </w:p>
    <w:p w14:paraId="6F696347" w14:textId="4A2B083E" w:rsidR="00187F35" w:rsidRDefault="00187F35" w:rsidP="00187F35">
      <w:pPr>
        <w:pStyle w:val="Proposal"/>
      </w:pPr>
      <w:bookmarkStart w:id="6" w:name="_Ref521535525"/>
      <w:r>
        <w:lastRenderedPageBreak/>
        <w:t xml:space="preserve">In 36.213 section 8.6.2, in </w:t>
      </w:r>
      <w:r w:rsidRPr="00E1277B">
        <w:t>Tables 8.6.2-1 and 8.6.2-2</w:t>
      </w:r>
      <w:r>
        <w:t xml:space="preserve">, clarify in the table headings that the tables concern the case when </w:t>
      </w:r>
      <w:r w:rsidRPr="00187F35">
        <w:rPr>
          <w:i/>
        </w:rPr>
        <w:t>edt-smallTBS-Enabled-r15</w:t>
      </w:r>
      <w:r>
        <w:t xml:space="preserve"> is configured.</w:t>
      </w:r>
      <w:bookmarkEnd w:id="6"/>
    </w:p>
    <w:p w14:paraId="39128D22" w14:textId="744396E1" w:rsidR="00187F35" w:rsidRDefault="00187F35" w:rsidP="00187F35">
      <w:pPr>
        <w:pStyle w:val="Proposal"/>
      </w:pPr>
      <w:r>
        <w:t xml:space="preserve">In 36.213 section 8.6.2, in </w:t>
      </w:r>
      <w:r w:rsidRPr="00E1277B">
        <w:t>Tables 8.6.2-1 and 8.6.2-2</w:t>
      </w:r>
      <w:r>
        <w:t>,</w:t>
      </w:r>
      <w:r w:rsidR="00322E93">
        <w:t xml:space="preserve"> insert the two missing commas and the missing space character as shown below</w:t>
      </w:r>
      <w:r>
        <w:t>.</w:t>
      </w:r>
    </w:p>
    <w:p w14:paraId="108651F4" w14:textId="77777777" w:rsidR="002166FE" w:rsidRDefault="002166FE" w:rsidP="00E1277B">
      <w:pPr>
        <w:pStyle w:val="BodyText"/>
      </w:pPr>
    </w:p>
    <w:p w14:paraId="36B00A30" w14:textId="0B24CC20" w:rsidR="00E1277B" w:rsidRPr="00E1277B" w:rsidRDefault="001F4F9E" w:rsidP="00E1277B">
      <w:pPr>
        <w:keepNext/>
        <w:keepLines/>
        <w:spacing w:before="60"/>
        <w:jc w:val="center"/>
        <w:rPr>
          <w:rFonts w:ascii="Arial" w:hAnsi="Arial"/>
          <w:b/>
          <w:lang w:eastAsia="en-GB"/>
        </w:rPr>
      </w:pPr>
      <w:r>
        <w:rPr>
          <w:rFonts w:ascii="Arial" w:hAnsi="Arial"/>
          <w:b/>
          <w:lang w:eastAsia="en-GB"/>
        </w:rPr>
        <w:t xml:space="preserve">36.213 </w:t>
      </w:r>
      <w:r w:rsidR="00E1277B" w:rsidRPr="00E1277B">
        <w:rPr>
          <w:rFonts w:ascii="Arial" w:hAnsi="Arial"/>
          <w:b/>
          <w:lang w:eastAsia="en-GB"/>
        </w:rPr>
        <w:t xml:space="preserve">Table 8.6.2-1: EDT TBS for </w:t>
      </w:r>
      <w:proofErr w:type="spellStart"/>
      <w:r w:rsidR="00E1277B" w:rsidRPr="00E1277B">
        <w:rPr>
          <w:rFonts w:ascii="Arial" w:hAnsi="Arial"/>
          <w:b/>
          <w:lang w:eastAsia="en-GB"/>
        </w:rPr>
        <w:t>CEModeA</w:t>
      </w:r>
      <w:proofErr w:type="spellEnd"/>
      <w:r w:rsidR="00E1277B" w:rsidRPr="00187F35">
        <w:rPr>
          <w:rFonts w:ascii="Arial" w:hAnsi="Arial"/>
          <w:b/>
          <w:color w:val="FF0000"/>
          <w:u w:val="single"/>
          <w:lang w:eastAsia="en-GB"/>
        </w:rPr>
        <w:t xml:space="preserve"> </w:t>
      </w:r>
      <w:r w:rsidR="00187F35" w:rsidRPr="00187F35">
        <w:rPr>
          <w:rFonts w:ascii="Arial" w:hAnsi="Arial"/>
          <w:b/>
          <w:color w:val="FF0000"/>
          <w:highlight w:val="yellow"/>
          <w:u w:val="single"/>
          <w:lang w:eastAsia="en-GB"/>
        </w:rPr>
        <w:t xml:space="preserve">with </w:t>
      </w:r>
      <w:r w:rsidR="00187F35" w:rsidRPr="00187F35">
        <w:rPr>
          <w:rFonts w:ascii="Arial" w:hAnsi="Arial"/>
          <w:b/>
          <w:i/>
          <w:color w:val="FF0000"/>
          <w:highlight w:val="yellow"/>
          <w:u w:val="single"/>
          <w:lang w:eastAsia="en-GB"/>
        </w:rPr>
        <w:t>edt-smallTBS-Enabled-r15</w:t>
      </w:r>
      <w:r w:rsidR="00187F35">
        <w:rPr>
          <w:rFonts w:ascii="Arial" w:hAnsi="Arial"/>
          <w:b/>
          <w:color w:val="FF0000"/>
          <w:highlight w:val="yellow"/>
          <w:u w:val="single"/>
          <w:lang w:eastAsia="en-GB"/>
        </w:rPr>
        <w:t xml:space="preserve"> configured</w:t>
      </w:r>
      <w:r w:rsidR="00E1277B" w:rsidRPr="00E1277B">
        <w:rPr>
          <w:rFonts w:ascii="Arial" w:hAnsi="Arial"/>
          <w:b/>
          <w:lang w:eastAsia="en-GB"/>
        </w:rPr>
        <w:t>.</w:t>
      </w:r>
    </w:p>
    <w:tbl>
      <w:tblPr>
        <w:tblW w:w="0" w:type="auto"/>
        <w:jc w:val="center"/>
        <w:tblLook w:val="01E0" w:firstRow="1" w:lastRow="1" w:firstColumn="1" w:lastColumn="1" w:noHBand="0" w:noVBand="0"/>
      </w:tblPr>
      <w:tblGrid>
        <w:gridCol w:w="1345"/>
        <w:gridCol w:w="2520"/>
        <w:gridCol w:w="2430"/>
      </w:tblGrid>
      <w:tr w:rsidR="00E1277B" w:rsidRPr="00E1277B" w14:paraId="11733A5C"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1A839155" w14:textId="77777777" w:rsidR="00E1277B" w:rsidRPr="00E1277B" w:rsidRDefault="00E1277B" w:rsidP="00E1277B">
            <w:pPr>
              <w:keepNext/>
              <w:keepLines/>
              <w:spacing w:after="0"/>
              <w:jc w:val="center"/>
              <w:rPr>
                <w:rFonts w:ascii="Arial" w:hAnsi="Arial"/>
                <w:b/>
                <w:i/>
                <w:sz w:val="18"/>
                <w:lang w:eastAsia="en-GB"/>
              </w:rPr>
            </w:pPr>
            <w:r w:rsidRPr="00E1277B">
              <w:rPr>
                <w:rFonts w:ascii="Arial" w:hAnsi="Arial"/>
                <w:b/>
                <w:i/>
                <w:sz w:val="18"/>
                <w:lang w:eastAsia="en-GB"/>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14:paraId="446B1EB4" w14:textId="77777777" w:rsidR="00E1277B" w:rsidRPr="00E1277B" w:rsidRDefault="00E1277B" w:rsidP="00E1277B">
            <w:pPr>
              <w:keepNext/>
              <w:keepLines/>
              <w:spacing w:after="0"/>
              <w:jc w:val="center"/>
              <w:rPr>
                <w:rFonts w:ascii="Arial" w:hAnsi="Arial"/>
                <w:b/>
                <w:sz w:val="18"/>
                <w:lang w:eastAsia="en-GB"/>
              </w:rPr>
            </w:pPr>
            <w:r w:rsidRPr="00E1277B">
              <w:rPr>
                <w:rFonts w:ascii="Arial" w:hAnsi="Arial"/>
                <w:b/>
                <w:i/>
                <w:sz w:val="18"/>
                <w:lang w:eastAsia="en-GB"/>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5C85BB67" w14:textId="77777777" w:rsidR="00E1277B" w:rsidRPr="00E1277B" w:rsidRDefault="00E1277B" w:rsidP="00E1277B">
            <w:pPr>
              <w:keepNext/>
              <w:keepLines/>
              <w:spacing w:after="0"/>
              <w:jc w:val="center"/>
              <w:rPr>
                <w:rFonts w:ascii="Arial" w:hAnsi="Arial"/>
                <w:b/>
                <w:sz w:val="18"/>
                <w:lang w:eastAsia="en-GB"/>
              </w:rPr>
            </w:pPr>
            <w:r w:rsidRPr="00E1277B">
              <w:rPr>
                <w:rFonts w:ascii="Arial" w:hAnsi="Arial"/>
                <w:b/>
                <w:sz w:val="18"/>
                <w:lang w:eastAsia="en-GB"/>
              </w:rPr>
              <w:t>Allowable TBS values</w:t>
            </w:r>
          </w:p>
        </w:tc>
      </w:tr>
      <w:tr w:rsidR="00E1277B" w:rsidRPr="00E1277B" w14:paraId="4DDF58E9"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C928A08"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408</w:t>
            </w:r>
          </w:p>
        </w:tc>
        <w:tc>
          <w:tcPr>
            <w:tcW w:w="2520" w:type="dxa"/>
            <w:tcBorders>
              <w:top w:val="single" w:sz="4" w:space="0" w:color="auto"/>
              <w:left w:val="single" w:sz="4" w:space="0" w:color="auto"/>
              <w:bottom w:val="single" w:sz="4" w:space="0" w:color="auto"/>
              <w:right w:val="single" w:sz="4" w:space="0" w:color="auto"/>
            </w:tcBorders>
            <w:vAlign w:val="center"/>
          </w:tcPr>
          <w:p w14:paraId="6CC607A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041FAA92"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328, 408</w:t>
            </w:r>
          </w:p>
        </w:tc>
      </w:tr>
      <w:tr w:rsidR="00E1277B" w:rsidRPr="00E1277B" w14:paraId="5613F845"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C62D37D"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46582B04"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3F7712AB"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328, 408, 456, 504</w:t>
            </w:r>
          </w:p>
        </w:tc>
      </w:tr>
      <w:tr w:rsidR="00E1277B" w:rsidRPr="00E1277B" w14:paraId="740046F8"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7285A36"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4219C014"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14:paraId="70EA9FC5"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 xml:space="preserve"> 408, 504</w:t>
            </w:r>
          </w:p>
        </w:tc>
      </w:tr>
      <w:tr w:rsidR="00E1277B" w:rsidRPr="00E1277B" w14:paraId="377583EB"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9AF826B"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6D2B131E"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28895458"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328, 408, 504, 600</w:t>
            </w:r>
          </w:p>
        </w:tc>
      </w:tr>
      <w:tr w:rsidR="00E1277B" w:rsidRPr="00E1277B" w14:paraId="51CC50FC"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252A0F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26F51DD6"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14:paraId="24865DE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408, 600</w:t>
            </w:r>
          </w:p>
        </w:tc>
      </w:tr>
      <w:tr w:rsidR="00E1277B" w:rsidRPr="00E1277B" w14:paraId="4CB01E4B"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64BC1FE"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435DFD12"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07C2868A"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328, 456, 600, 712</w:t>
            </w:r>
          </w:p>
        </w:tc>
      </w:tr>
      <w:tr w:rsidR="00E1277B" w:rsidRPr="00E1277B" w14:paraId="06FDB562"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B870C00"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26E40CEE"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14:paraId="15D0D164"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456, 712</w:t>
            </w:r>
          </w:p>
        </w:tc>
      </w:tr>
      <w:tr w:rsidR="00E1277B" w:rsidRPr="00E1277B" w14:paraId="2E4C25E9"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E243217"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5DA26CC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3B32FE22"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328, 504, 712, 808</w:t>
            </w:r>
          </w:p>
        </w:tc>
      </w:tr>
      <w:tr w:rsidR="00E1277B" w:rsidRPr="00E1277B" w14:paraId="7C7C9FAA"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A572107"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3B9AEB06"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14:paraId="41372B15"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504, 808</w:t>
            </w:r>
          </w:p>
        </w:tc>
      </w:tr>
      <w:tr w:rsidR="00E1277B" w:rsidRPr="00E1277B" w14:paraId="776E4059"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4063132"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0C9A2F7F"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121CD6EF" w14:textId="019D67A3"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 xml:space="preserve">328, </w:t>
            </w:r>
            <w:r w:rsidRPr="00E1277B">
              <w:rPr>
                <w:rFonts w:ascii="Arial" w:hAnsi="Arial"/>
                <w:sz w:val="18"/>
                <w:highlight w:val="yellow"/>
                <w:lang w:eastAsia="en-GB"/>
              </w:rPr>
              <w:t>504</w:t>
            </w:r>
            <w:r w:rsidRPr="00E1277B">
              <w:rPr>
                <w:rFonts w:ascii="Arial" w:hAnsi="Arial"/>
                <w:color w:val="FF0000"/>
                <w:sz w:val="18"/>
                <w:highlight w:val="yellow"/>
                <w:u w:val="single"/>
                <w:lang w:eastAsia="en-GB"/>
              </w:rPr>
              <w:t xml:space="preserve">, </w:t>
            </w:r>
            <w:r w:rsidRPr="00E1277B">
              <w:rPr>
                <w:rFonts w:ascii="Arial" w:hAnsi="Arial"/>
                <w:sz w:val="18"/>
                <w:highlight w:val="yellow"/>
                <w:lang w:eastAsia="en-GB"/>
              </w:rPr>
              <w:t>712</w:t>
            </w:r>
            <w:r w:rsidRPr="00E1277B">
              <w:rPr>
                <w:rFonts w:ascii="Arial" w:hAnsi="Arial"/>
                <w:sz w:val="18"/>
                <w:lang w:eastAsia="en-GB"/>
              </w:rPr>
              <w:t>, 936</w:t>
            </w:r>
          </w:p>
        </w:tc>
      </w:tr>
      <w:tr w:rsidR="00E1277B" w:rsidRPr="00E1277B" w14:paraId="79CF8AF7"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BA7990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47A5B32C"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14:paraId="3AD789D5"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504, 936</w:t>
            </w:r>
          </w:p>
        </w:tc>
      </w:tr>
      <w:tr w:rsidR="00E1277B" w:rsidRPr="00E1277B" w14:paraId="78A9181A"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A1316B9"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395B8DC0"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0859D0BA"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328, 536, 776, 1000</w:t>
            </w:r>
          </w:p>
        </w:tc>
      </w:tr>
      <w:tr w:rsidR="00E1277B" w:rsidRPr="00E1277B" w14:paraId="6F48EBC5"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A0EA7EB"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6F4C8942"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14:paraId="663A8D3B"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536, 1000</w:t>
            </w:r>
          </w:p>
        </w:tc>
      </w:tr>
    </w:tbl>
    <w:p w14:paraId="4771E29F" w14:textId="770FC187" w:rsidR="00E1277B" w:rsidRDefault="00E1277B" w:rsidP="00E1277B">
      <w:pPr>
        <w:pStyle w:val="BodyText"/>
      </w:pPr>
    </w:p>
    <w:p w14:paraId="095DFFA9" w14:textId="6CCCEA7C" w:rsidR="00E1277B" w:rsidRPr="00E1277B" w:rsidRDefault="001F4F9E" w:rsidP="00E1277B">
      <w:pPr>
        <w:keepNext/>
        <w:keepLines/>
        <w:spacing w:before="60"/>
        <w:jc w:val="center"/>
        <w:rPr>
          <w:rFonts w:ascii="Arial" w:hAnsi="Arial"/>
          <w:b/>
          <w:lang w:eastAsia="en-GB"/>
        </w:rPr>
      </w:pPr>
      <w:r>
        <w:rPr>
          <w:rFonts w:ascii="Arial" w:hAnsi="Arial"/>
          <w:b/>
          <w:lang w:eastAsia="en-GB"/>
        </w:rPr>
        <w:t xml:space="preserve">36.213 </w:t>
      </w:r>
      <w:r w:rsidR="00E1277B" w:rsidRPr="00E1277B">
        <w:rPr>
          <w:rFonts w:ascii="Arial" w:hAnsi="Arial"/>
          <w:b/>
          <w:lang w:eastAsia="en-GB"/>
        </w:rPr>
        <w:t xml:space="preserve">Table 8.6.2-2: EDT TBS for </w:t>
      </w:r>
      <w:proofErr w:type="spellStart"/>
      <w:r w:rsidR="00E1277B" w:rsidRPr="00E1277B">
        <w:rPr>
          <w:rFonts w:ascii="Arial" w:hAnsi="Arial"/>
          <w:b/>
          <w:lang w:eastAsia="en-GB"/>
        </w:rPr>
        <w:t>CEModeB</w:t>
      </w:r>
      <w:proofErr w:type="spellEnd"/>
      <w:r w:rsidR="00187F35">
        <w:rPr>
          <w:rFonts w:ascii="Arial" w:hAnsi="Arial"/>
          <w:b/>
          <w:lang w:eastAsia="en-GB"/>
        </w:rPr>
        <w:t xml:space="preserve"> </w:t>
      </w:r>
      <w:r w:rsidR="00187F35" w:rsidRPr="00187F35">
        <w:rPr>
          <w:rFonts w:ascii="Arial" w:hAnsi="Arial"/>
          <w:b/>
          <w:color w:val="FF0000"/>
          <w:highlight w:val="yellow"/>
          <w:u w:val="single"/>
          <w:lang w:eastAsia="en-GB"/>
        </w:rPr>
        <w:t xml:space="preserve">with </w:t>
      </w:r>
      <w:r w:rsidR="00187F35" w:rsidRPr="00187F35">
        <w:rPr>
          <w:rFonts w:ascii="Arial" w:hAnsi="Arial"/>
          <w:b/>
          <w:i/>
          <w:color w:val="FF0000"/>
          <w:highlight w:val="yellow"/>
          <w:u w:val="single"/>
          <w:lang w:eastAsia="en-GB"/>
        </w:rPr>
        <w:t>edt-smallTBS-Enabled-r15</w:t>
      </w:r>
      <w:r w:rsidR="00187F35" w:rsidRPr="00187F35">
        <w:rPr>
          <w:rFonts w:ascii="Arial" w:hAnsi="Arial"/>
          <w:b/>
          <w:color w:val="FF0000"/>
          <w:highlight w:val="yellow"/>
          <w:u w:val="single"/>
          <w:lang w:eastAsia="en-GB"/>
        </w:rPr>
        <w:t xml:space="preserve"> configured</w:t>
      </w:r>
      <w:r w:rsidR="00E1277B" w:rsidRPr="00E1277B">
        <w:rPr>
          <w:rFonts w:ascii="Arial" w:hAnsi="Arial"/>
          <w:b/>
          <w:lang w:eastAsia="en-GB"/>
        </w:rPr>
        <w:t>.</w:t>
      </w:r>
    </w:p>
    <w:tbl>
      <w:tblPr>
        <w:tblW w:w="0" w:type="auto"/>
        <w:jc w:val="center"/>
        <w:tblLook w:val="01E0" w:firstRow="1" w:lastRow="1" w:firstColumn="1" w:lastColumn="1" w:noHBand="0" w:noVBand="0"/>
      </w:tblPr>
      <w:tblGrid>
        <w:gridCol w:w="1345"/>
        <w:gridCol w:w="2610"/>
        <w:gridCol w:w="2430"/>
      </w:tblGrid>
      <w:tr w:rsidR="00E1277B" w:rsidRPr="00E1277B" w14:paraId="37DF575A"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7625B0C3" w14:textId="77777777" w:rsidR="00E1277B" w:rsidRPr="00E1277B" w:rsidRDefault="00E1277B" w:rsidP="00E1277B">
            <w:pPr>
              <w:keepNext/>
              <w:keepLines/>
              <w:spacing w:after="0"/>
              <w:jc w:val="center"/>
              <w:rPr>
                <w:rFonts w:ascii="Arial" w:hAnsi="Arial"/>
                <w:b/>
                <w:i/>
                <w:sz w:val="18"/>
                <w:lang w:eastAsia="en-GB"/>
              </w:rPr>
            </w:pPr>
            <w:r w:rsidRPr="00E1277B">
              <w:rPr>
                <w:rFonts w:ascii="Arial" w:hAnsi="Arial"/>
                <w:b/>
                <w:i/>
                <w:sz w:val="18"/>
                <w:lang w:eastAsia="en-GB"/>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1EFB15CA" w14:textId="77777777" w:rsidR="00E1277B" w:rsidRPr="00E1277B" w:rsidRDefault="00E1277B" w:rsidP="00E1277B">
            <w:pPr>
              <w:keepNext/>
              <w:keepLines/>
              <w:spacing w:after="0"/>
              <w:jc w:val="center"/>
              <w:rPr>
                <w:rFonts w:ascii="Arial" w:hAnsi="Arial"/>
                <w:b/>
                <w:sz w:val="18"/>
                <w:highlight w:val="yellow"/>
                <w:lang w:eastAsia="en-GB"/>
              </w:rPr>
            </w:pPr>
            <w:r w:rsidRPr="00E1277B">
              <w:rPr>
                <w:rFonts w:ascii="Arial" w:hAnsi="Arial"/>
                <w:b/>
                <w:i/>
                <w:sz w:val="18"/>
                <w:lang w:eastAsia="en-GB"/>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217F9E0F" w14:textId="77777777" w:rsidR="00E1277B" w:rsidRPr="00E1277B" w:rsidRDefault="00E1277B" w:rsidP="00E1277B">
            <w:pPr>
              <w:keepNext/>
              <w:keepLines/>
              <w:spacing w:after="0"/>
              <w:jc w:val="center"/>
              <w:rPr>
                <w:rFonts w:ascii="Arial" w:hAnsi="Arial"/>
                <w:b/>
                <w:sz w:val="18"/>
                <w:lang w:eastAsia="en-GB"/>
              </w:rPr>
            </w:pPr>
            <w:r w:rsidRPr="00E1277B">
              <w:rPr>
                <w:rFonts w:ascii="Arial" w:hAnsi="Arial"/>
                <w:b/>
                <w:sz w:val="18"/>
                <w:lang w:eastAsia="en-GB"/>
              </w:rPr>
              <w:t>Allowable TBS values</w:t>
            </w:r>
          </w:p>
        </w:tc>
      </w:tr>
      <w:tr w:rsidR="00E1277B" w:rsidRPr="00E1277B" w14:paraId="5B619870"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E26F07D"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06E4A84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0D178BF9"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328, 408</w:t>
            </w:r>
          </w:p>
        </w:tc>
      </w:tr>
      <w:tr w:rsidR="00E1277B" w:rsidRPr="00E1277B" w14:paraId="224FCFB9"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A21D76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0F508426"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1EEA6C77"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328, 408, 456</w:t>
            </w:r>
          </w:p>
        </w:tc>
      </w:tr>
      <w:tr w:rsidR="00E1277B" w:rsidRPr="00E1277B" w14:paraId="731464B5"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AE0B26A"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49296DEA"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14:paraId="556A88F1" w14:textId="57439DDB" w:rsidR="00E1277B" w:rsidRPr="00E1277B" w:rsidRDefault="00E1277B" w:rsidP="00E1277B">
            <w:pPr>
              <w:keepNext/>
              <w:keepLines/>
              <w:spacing w:after="0"/>
              <w:jc w:val="center"/>
              <w:rPr>
                <w:rFonts w:ascii="Arial" w:hAnsi="Arial"/>
                <w:sz w:val="18"/>
                <w:lang w:eastAsia="en-GB"/>
              </w:rPr>
            </w:pPr>
            <w:r w:rsidRPr="00E1277B">
              <w:rPr>
                <w:rFonts w:ascii="Arial" w:hAnsi="Arial"/>
                <w:sz w:val="18"/>
                <w:highlight w:val="yellow"/>
                <w:lang w:eastAsia="en-GB"/>
              </w:rPr>
              <w:t>408,</w:t>
            </w:r>
            <w:r w:rsidRPr="00E1277B">
              <w:rPr>
                <w:rFonts w:ascii="Arial" w:hAnsi="Arial"/>
                <w:color w:val="FF0000"/>
                <w:sz w:val="18"/>
                <w:highlight w:val="yellow"/>
                <w:u w:val="single"/>
                <w:lang w:eastAsia="en-GB"/>
              </w:rPr>
              <w:t xml:space="preserve"> </w:t>
            </w:r>
            <w:r w:rsidRPr="00E1277B">
              <w:rPr>
                <w:rFonts w:ascii="Arial" w:hAnsi="Arial"/>
                <w:sz w:val="18"/>
                <w:highlight w:val="yellow"/>
                <w:lang w:eastAsia="en-GB"/>
              </w:rPr>
              <w:t>456</w:t>
            </w:r>
          </w:p>
        </w:tc>
      </w:tr>
      <w:tr w:rsidR="00E1277B" w:rsidRPr="00E1277B" w14:paraId="09BC7061"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06867D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7063A4B3"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39B256E5"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328, 408, 456, 504</w:t>
            </w:r>
          </w:p>
        </w:tc>
      </w:tr>
      <w:tr w:rsidR="00E1277B" w:rsidRPr="00E1277B" w14:paraId="4FFAB864"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D2FDCE8"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503A7570"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14:paraId="6DB83CA0"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 xml:space="preserve"> 408, 504</w:t>
            </w:r>
          </w:p>
        </w:tc>
      </w:tr>
      <w:tr w:rsidR="00E1277B" w:rsidRPr="00E1277B" w14:paraId="58CBDAD8"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080AE5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43AC3909"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4114DF6B"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328, 408, 504, 600</w:t>
            </w:r>
          </w:p>
        </w:tc>
      </w:tr>
      <w:tr w:rsidR="00E1277B" w:rsidRPr="00E1277B" w14:paraId="08DD15C8"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F977B8B"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116B4CA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14:paraId="5C677AC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408, 600</w:t>
            </w:r>
          </w:p>
        </w:tc>
      </w:tr>
      <w:tr w:rsidR="00E1277B" w:rsidRPr="00E1277B" w14:paraId="69BFA333"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499611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2B2D80A0"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0BAC3D7D"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328, 456, 600, 712</w:t>
            </w:r>
          </w:p>
        </w:tc>
      </w:tr>
      <w:tr w:rsidR="00E1277B" w:rsidRPr="00E1277B" w14:paraId="2A9AACBE"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7E4BD9B"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1D4ADA99"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14:paraId="5BB0D9A6"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456, 712</w:t>
            </w:r>
          </w:p>
        </w:tc>
      </w:tr>
      <w:tr w:rsidR="00E1277B" w:rsidRPr="00E1277B" w14:paraId="41675DA9"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AE1BD08"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111DA4BD"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3945AF6B"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328, 504, 712, 808</w:t>
            </w:r>
          </w:p>
        </w:tc>
      </w:tr>
      <w:tr w:rsidR="00E1277B" w:rsidRPr="00E1277B" w14:paraId="783994D5"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80E24E"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2C768FDF"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14:paraId="5B7A2711"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504, 808</w:t>
            </w:r>
          </w:p>
        </w:tc>
      </w:tr>
      <w:tr w:rsidR="00E1277B" w:rsidRPr="00E1277B" w14:paraId="337DA0AD"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40FB187"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791A7583"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14:paraId="071B0AE5" w14:textId="0E9D8134"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 xml:space="preserve">328, </w:t>
            </w:r>
            <w:r w:rsidRPr="00E1277B">
              <w:rPr>
                <w:rFonts w:ascii="Arial" w:hAnsi="Arial"/>
                <w:sz w:val="18"/>
                <w:highlight w:val="yellow"/>
                <w:lang w:eastAsia="en-GB"/>
              </w:rPr>
              <w:t>504</w:t>
            </w:r>
            <w:r w:rsidRPr="00E1277B">
              <w:rPr>
                <w:rFonts w:ascii="Arial" w:hAnsi="Arial"/>
                <w:sz w:val="18"/>
                <w:highlight w:val="yellow"/>
                <w:u w:val="single"/>
                <w:lang w:eastAsia="en-GB"/>
              </w:rPr>
              <w:t xml:space="preserve">, </w:t>
            </w:r>
            <w:r w:rsidRPr="00E1277B">
              <w:rPr>
                <w:rFonts w:ascii="Arial" w:hAnsi="Arial"/>
                <w:sz w:val="18"/>
                <w:highlight w:val="yellow"/>
                <w:lang w:eastAsia="en-GB"/>
              </w:rPr>
              <w:t>712</w:t>
            </w:r>
            <w:r w:rsidRPr="00E1277B">
              <w:rPr>
                <w:rFonts w:ascii="Arial" w:hAnsi="Arial"/>
                <w:sz w:val="18"/>
                <w:lang w:eastAsia="en-GB"/>
              </w:rPr>
              <w:t>, 936</w:t>
            </w:r>
          </w:p>
        </w:tc>
      </w:tr>
      <w:tr w:rsidR="00E1277B" w:rsidRPr="00E1277B" w14:paraId="5897BFA7" w14:textId="77777777" w:rsidTr="00D24D60">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589CA23"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421C90E2"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14:paraId="5CEF04CB" w14:textId="77777777" w:rsidR="00E1277B" w:rsidRPr="00E1277B" w:rsidRDefault="00E1277B" w:rsidP="00E1277B">
            <w:pPr>
              <w:keepNext/>
              <w:keepLines/>
              <w:spacing w:after="0"/>
              <w:jc w:val="center"/>
              <w:rPr>
                <w:rFonts w:ascii="Arial" w:hAnsi="Arial"/>
                <w:sz w:val="18"/>
                <w:lang w:eastAsia="en-GB"/>
              </w:rPr>
            </w:pPr>
            <w:r w:rsidRPr="00E1277B">
              <w:rPr>
                <w:rFonts w:ascii="Arial" w:hAnsi="Arial"/>
                <w:sz w:val="18"/>
                <w:lang w:eastAsia="en-GB"/>
              </w:rPr>
              <w:t>504, 936</w:t>
            </w:r>
          </w:p>
        </w:tc>
      </w:tr>
    </w:tbl>
    <w:p w14:paraId="32805B18" w14:textId="4F766BB7" w:rsidR="00E1277B" w:rsidRDefault="00E1277B" w:rsidP="00E1277B">
      <w:pPr>
        <w:pStyle w:val="BodyText"/>
      </w:pPr>
    </w:p>
    <w:p w14:paraId="0D0F2B18" w14:textId="62A23DD6" w:rsidR="004E13FE" w:rsidRDefault="004E13FE" w:rsidP="00E1277B">
      <w:pPr>
        <w:pStyle w:val="BodyText"/>
      </w:pPr>
      <w:r>
        <w:t xml:space="preserve">(If desired, a similar clarification as the one in </w:t>
      </w:r>
      <w:r>
        <w:fldChar w:fldCharType="begin"/>
      </w:r>
      <w:r>
        <w:instrText xml:space="preserve"> REF _Ref521535525 \r \h </w:instrText>
      </w:r>
      <w:r>
        <w:fldChar w:fldCharType="separate"/>
      </w:r>
      <w:r>
        <w:t>Proposal 3</w:t>
      </w:r>
      <w:r>
        <w:fldChar w:fldCharType="end"/>
      </w:r>
      <w:r>
        <w:t xml:space="preserve"> can also be considered for NB-IoT in the table heading of Table 16.3.3-2 in 36.213 section 16.3.3.)</w:t>
      </w:r>
    </w:p>
    <w:p w14:paraId="303EAAF2" w14:textId="0BC8AF21" w:rsidR="00E1277B" w:rsidRDefault="00E1277B" w:rsidP="00E1277B">
      <w:pPr>
        <w:pStyle w:val="Heading1"/>
      </w:pPr>
      <w:r>
        <w:t>4</w:t>
      </w:r>
      <w:r>
        <w:tab/>
      </w:r>
      <w:r w:rsidR="001F4F9E">
        <w:t>Clarifications of RAR UL grant definitions</w:t>
      </w:r>
      <w:r>
        <w:t xml:space="preserve"> (36.213)</w:t>
      </w:r>
    </w:p>
    <w:p w14:paraId="684EF639" w14:textId="5D5EDEEA" w:rsidR="001F4F9E" w:rsidRDefault="001F4F9E" w:rsidP="007D42A1">
      <w:pPr>
        <w:pStyle w:val="BodyText"/>
      </w:pPr>
      <w:r w:rsidRPr="00E1277B">
        <w:t xml:space="preserve">36.213 section </w:t>
      </w:r>
      <w:r>
        <w:t xml:space="preserve">6.2 </w:t>
      </w:r>
      <w:r w:rsidR="002B7956">
        <w:t xml:space="preserve">refers to various tables related to RAR UL grant definitions. </w:t>
      </w:r>
      <w:r w:rsidR="007D42A1">
        <w:t>In the following paragraph, the text could be clarified by removing the colon sign after the highlighted word “otherwise”.</w:t>
      </w:r>
    </w:p>
    <w:tbl>
      <w:tblPr>
        <w:tblStyle w:val="TableGrid"/>
        <w:tblW w:w="0" w:type="auto"/>
        <w:tblLook w:val="04A0" w:firstRow="1" w:lastRow="0" w:firstColumn="1" w:lastColumn="0" w:noHBand="0" w:noVBand="1"/>
      </w:tblPr>
      <w:tblGrid>
        <w:gridCol w:w="9629"/>
      </w:tblGrid>
      <w:tr w:rsidR="00981F1D" w14:paraId="703C8381" w14:textId="77777777" w:rsidTr="00981F1D">
        <w:tc>
          <w:tcPr>
            <w:tcW w:w="9629" w:type="dxa"/>
          </w:tcPr>
          <w:p w14:paraId="4690F5F5" w14:textId="77777777" w:rsidR="00981F1D" w:rsidRPr="007D42A1" w:rsidRDefault="00981F1D" w:rsidP="00981F1D">
            <w:pPr>
              <w:pStyle w:val="B1"/>
              <w:rPr>
                <w:sz w:val="20"/>
              </w:rPr>
            </w:pPr>
            <w:r w:rsidRPr="007D42A1">
              <w:rPr>
                <w:sz w:val="20"/>
              </w:rPr>
              <w:t>-</w:t>
            </w:r>
            <w:r w:rsidRPr="007D42A1">
              <w:rPr>
                <w:sz w:val="20"/>
              </w:rPr>
              <w:tab/>
              <w:t xml:space="preserve">The </w:t>
            </w:r>
            <w:proofErr w:type="spellStart"/>
            <w:r w:rsidRPr="007D42A1">
              <w:rPr>
                <w:sz w:val="20"/>
              </w:rPr>
              <w:t>content</w:t>
            </w:r>
            <w:proofErr w:type="spellEnd"/>
            <w:r w:rsidRPr="007D42A1">
              <w:rPr>
                <w:sz w:val="20"/>
              </w:rPr>
              <w:t xml:space="preserve"> </w:t>
            </w:r>
            <w:proofErr w:type="spellStart"/>
            <w:r w:rsidRPr="007D42A1">
              <w:rPr>
                <w:sz w:val="20"/>
              </w:rPr>
              <w:t>of</w:t>
            </w:r>
            <w:proofErr w:type="spellEnd"/>
            <w:r w:rsidRPr="007D42A1">
              <w:rPr>
                <w:sz w:val="20"/>
              </w:rPr>
              <w:t xml:space="preserve"> </w:t>
            </w:r>
            <w:proofErr w:type="spellStart"/>
            <w:r w:rsidRPr="007D42A1">
              <w:rPr>
                <w:sz w:val="20"/>
              </w:rPr>
              <w:t>these</w:t>
            </w:r>
            <w:proofErr w:type="spellEnd"/>
            <w:r w:rsidRPr="007D42A1">
              <w:rPr>
                <w:sz w:val="20"/>
              </w:rPr>
              <w:t xml:space="preserve"> </w:t>
            </w:r>
            <w:proofErr w:type="spellStart"/>
            <w:r w:rsidRPr="007D42A1">
              <w:rPr>
                <w:sz w:val="20"/>
              </w:rPr>
              <w:t>Nr</w:t>
            </w:r>
            <w:proofErr w:type="spellEnd"/>
            <w:r w:rsidRPr="007D42A1">
              <w:rPr>
                <w:sz w:val="20"/>
              </w:rPr>
              <w:t xml:space="preserve"> </w:t>
            </w:r>
            <w:proofErr w:type="spellStart"/>
            <w:r w:rsidRPr="007D42A1">
              <w:rPr>
                <w:sz w:val="20"/>
              </w:rPr>
              <w:t>bits</w:t>
            </w:r>
            <w:proofErr w:type="spellEnd"/>
            <w:r w:rsidRPr="007D42A1">
              <w:rPr>
                <w:sz w:val="20"/>
              </w:rPr>
              <w:t xml:space="preserve"> </w:t>
            </w:r>
            <w:proofErr w:type="spellStart"/>
            <w:r w:rsidRPr="007D42A1">
              <w:rPr>
                <w:sz w:val="20"/>
              </w:rPr>
              <w:t>starting</w:t>
            </w:r>
            <w:proofErr w:type="spellEnd"/>
            <w:r w:rsidRPr="007D42A1">
              <w:rPr>
                <w:sz w:val="20"/>
              </w:rPr>
              <w:t xml:space="preserve"> </w:t>
            </w:r>
            <w:proofErr w:type="spellStart"/>
            <w:r w:rsidRPr="007D42A1">
              <w:rPr>
                <w:sz w:val="20"/>
              </w:rPr>
              <w:t>with</w:t>
            </w:r>
            <w:proofErr w:type="spellEnd"/>
            <w:r w:rsidRPr="007D42A1">
              <w:rPr>
                <w:sz w:val="20"/>
              </w:rPr>
              <w:t xml:space="preserve"> </w:t>
            </w:r>
            <w:proofErr w:type="spellStart"/>
            <w:r w:rsidRPr="007D42A1">
              <w:rPr>
                <w:sz w:val="20"/>
              </w:rPr>
              <w:t>the</w:t>
            </w:r>
            <w:proofErr w:type="spellEnd"/>
            <w:r w:rsidRPr="007D42A1">
              <w:rPr>
                <w:sz w:val="20"/>
              </w:rPr>
              <w:t xml:space="preserve"> MSB and </w:t>
            </w:r>
            <w:proofErr w:type="spellStart"/>
            <w:r w:rsidRPr="007D42A1">
              <w:rPr>
                <w:sz w:val="20"/>
              </w:rPr>
              <w:t>ending</w:t>
            </w:r>
            <w:proofErr w:type="spellEnd"/>
            <w:r w:rsidRPr="007D42A1">
              <w:rPr>
                <w:sz w:val="20"/>
              </w:rPr>
              <w:t xml:space="preserve"> </w:t>
            </w:r>
            <w:proofErr w:type="spellStart"/>
            <w:r w:rsidRPr="007D42A1">
              <w:rPr>
                <w:sz w:val="20"/>
              </w:rPr>
              <w:t>with</w:t>
            </w:r>
            <w:proofErr w:type="spellEnd"/>
            <w:r w:rsidRPr="007D42A1">
              <w:rPr>
                <w:sz w:val="20"/>
              </w:rPr>
              <w:t xml:space="preserve"> </w:t>
            </w:r>
            <w:proofErr w:type="spellStart"/>
            <w:r w:rsidRPr="007D42A1">
              <w:rPr>
                <w:sz w:val="20"/>
              </w:rPr>
              <w:t>the</w:t>
            </w:r>
            <w:proofErr w:type="spellEnd"/>
            <w:r w:rsidRPr="007D42A1">
              <w:rPr>
                <w:sz w:val="20"/>
              </w:rPr>
              <w:t xml:space="preserve"> LSB </w:t>
            </w:r>
            <w:proofErr w:type="spellStart"/>
            <w:r w:rsidRPr="007D42A1">
              <w:rPr>
                <w:sz w:val="20"/>
              </w:rPr>
              <w:t>are</w:t>
            </w:r>
            <w:proofErr w:type="spellEnd"/>
            <w:r w:rsidRPr="007D42A1">
              <w:rPr>
                <w:sz w:val="20"/>
              </w:rPr>
              <w:t xml:space="preserve"> </w:t>
            </w:r>
            <w:proofErr w:type="spellStart"/>
            <w:r w:rsidRPr="007D42A1">
              <w:rPr>
                <w:sz w:val="20"/>
              </w:rPr>
              <w:t>given</w:t>
            </w:r>
            <w:proofErr w:type="spellEnd"/>
            <w:r w:rsidRPr="007D42A1">
              <w:rPr>
                <w:sz w:val="20"/>
              </w:rPr>
              <w:t xml:space="preserve"> in Table 6-2 </w:t>
            </w:r>
            <w:proofErr w:type="spellStart"/>
            <w:r w:rsidRPr="007D42A1">
              <w:rPr>
                <w:sz w:val="20"/>
              </w:rPr>
              <w:t>for</w:t>
            </w:r>
            <w:proofErr w:type="spellEnd"/>
            <w:r w:rsidRPr="007D42A1">
              <w:rPr>
                <w:sz w:val="20"/>
              </w:rPr>
              <w:t xml:space="preserve"> </w:t>
            </w:r>
            <w:proofErr w:type="spellStart"/>
            <w:r w:rsidRPr="007D42A1">
              <w:rPr>
                <w:sz w:val="20"/>
              </w:rPr>
              <w:t>CEmodeA</w:t>
            </w:r>
            <w:proofErr w:type="spellEnd"/>
            <w:r w:rsidRPr="007D42A1">
              <w:rPr>
                <w:sz w:val="20"/>
              </w:rPr>
              <w:t xml:space="preserve"> and </w:t>
            </w:r>
            <w:proofErr w:type="spellStart"/>
            <w:r w:rsidRPr="007D42A1">
              <w:rPr>
                <w:sz w:val="20"/>
              </w:rPr>
              <w:t>CEmodeB</w:t>
            </w:r>
            <w:proofErr w:type="spellEnd"/>
            <w:r w:rsidRPr="007D42A1">
              <w:rPr>
                <w:sz w:val="20"/>
              </w:rPr>
              <w:t xml:space="preserve"> </w:t>
            </w:r>
            <w:proofErr w:type="spellStart"/>
            <w:r w:rsidRPr="007D42A1">
              <w:rPr>
                <w:sz w:val="20"/>
              </w:rPr>
              <w:t>if</w:t>
            </w:r>
            <w:proofErr w:type="spellEnd"/>
            <w:r w:rsidRPr="007D42A1">
              <w:rPr>
                <w:sz w:val="20"/>
              </w:rPr>
              <w:t xml:space="preserve"> </w:t>
            </w:r>
            <w:proofErr w:type="spellStart"/>
            <w:r w:rsidRPr="007D42A1">
              <w:rPr>
                <w:sz w:val="20"/>
              </w:rPr>
              <w:t>the</w:t>
            </w:r>
            <w:proofErr w:type="spellEnd"/>
            <w:r w:rsidRPr="007D42A1">
              <w:rPr>
                <w:sz w:val="20"/>
              </w:rPr>
              <w:t xml:space="preserve"> </w:t>
            </w:r>
            <w:proofErr w:type="spellStart"/>
            <w:r w:rsidRPr="007D42A1">
              <w:rPr>
                <w:sz w:val="20"/>
                <w:highlight w:val="yellow"/>
              </w:rPr>
              <w:t>higher</w:t>
            </w:r>
            <w:proofErr w:type="spellEnd"/>
            <w:r w:rsidRPr="007D42A1">
              <w:rPr>
                <w:sz w:val="20"/>
                <w:highlight w:val="yellow"/>
              </w:rPr>
              <w:t xml:space="preserve"> </w:t>
            </w:r>
            <w:proofErr w:type="spellStart"/>
            <w:r w:rsidRPr="007D42A1">
              <w:rPr>
                <w:sz w:val="20"/>
                <w:highlight w:val="yellow"/>
              </w:rPr>
              <w:t>layers</w:t>
            </w:r>
            <w:proofErr w:type="spellEnd"/>
            <w:r w:rsidRPr="007D42A1">
              <w:rPr>
                <w:sz w:val="20"/>
                <w:highlight w:val="yellow"/>
              </w:rPr>
              <w:t xml:space="preserve"> </w:t>
            </w:r>
            <w:proofErr w:type="spellStart"/>
            <w:r w:rsidRPr="007D42A1">
              <w:rPr>
                <w:sz w:val="20"/>
                <w:highlight w:val="yellow"/>
              </w:rPr>
              <w:t>does</w:t>
            </w:r>
            <w:proofErr w:type="spellEnd"/>
            <w:r w:rsidRPr="007D42A1">
              <w:rPr>
                <w:sz w:val="20"/>
                <w:highlight w:val="yellow"/>
              </w:rPr>
              <w:t xml:space="preserve"> not </w:t>
            </w:r>
            <w:proofErr w:type="spellStart"/>
            <w:r w:rsidRPr="007D42A1">
              <w:rPr>
                <w:sz w:val="20"/>
                <w:highlight w:val="yellow"/>
              </w:rPr>
              <w:t>indicate</w:t>
            </w:r>
            <w:proofErr w:type="spellEnd"/>
            <w:r w:rsidRPr="007D42A1">
              <w:rPr>
                <w:sz w:val="20"/>
              </w:rPr>
              <w:t xml:space="preserve"> EDT</w:t>
            </w:r>
            <w:r w:rsidRPr="007D42A1">
              <w:rPr>
                <w:rFonts w:hint="eastAsia"/>
                <w:sz w:val="20"/>
              </w:rPr>
              <w:t xml:space="preserve"> </w:t>
            </w:r>
            <w:proofErr w:type="spellStart"/>
            <w:r w:rsidRPr="007D42A1">
              <w:rPr>
                <w:sz w:val="20"/>
              </w:rPr>
              <w:t>to</w:t>
            </w:r>
            <w:proofErr w:type="spellEnd"/>
            <w:r w:rsidRPr="007D42A1">
              <w:rPr>
                <w:sz w:val="20"/>
              </w:rPr>
              <w:t xml:space="preserve"> </w:t>
            </w:r>
            <w:proofErr w:type="spellStart"/>
            <w:r w:rsidRPr="007D42A1">
              <w:rPr>
                <w:sz w:val="20"/>
              </w:rPr>
              <w:t>the</w:t>
            </w:r>
            <w:proofErr w:type="spellEnd"/>
            <w:r w:rsidRPr="007D42A1">
              <w:rPr>
                <w:sz w:val="20"/>
              </w:rPr>
              <w:t xml:space="preserve"> </w:t>
            </w:r>
            <w:proofErr w:type="spellStart"/>
            <w:r w:rsidRPr="007D42A1">
              <w:rPr>
                <w:sz w:val="20"/>
              </w:rPr>
              <w:t>physical</w:t>
            </w:r>
            <w:proofErr w:type="spellEnd"/>
            <w:r w:rsidRPr="007D42A1">
              <w:rPr>
                <w:sz w:val="20"/>
              </w:rPr>
              <w:t xml:space="preserve"> </w:t>
            </w:r>
            <w:proofErr w:type="spellStart"/>
            <w:r w:rsidRPr="007D42A1">
              <w:rPr>
                <w:sz w:val="20"/>
              </w:rPr>
              <w:t>layer</w:t>
            </w:r>
            <w:proofErr w:type="spellEnd"/>
            <w:r w:rsidRPr="007D42A1">
              <w:rPr>
                <w:rFonts w:hint="eastAsia"/>
                <w:sz w:val="20"/>
              </w:rPr>
              <w:t xml:space="preserve"> </w:t>
            </w:r>
            <w:proofErr w:type="spellStart"/>
            <w:r w:rsidRPr="007D42A1">
              <w:rPr>
                <w:rFonts w:hint="eastAsia"/>
                <w:sz w:val="20"/>
              </w:rPr>
              <w:t>as</w:t>
            </w:r>
            <w:proofErr w:type="spellEnd"/>
            <w:r w:rsidRPr="007D42A1">
              <w:rPr>
                <w:rFonts w:hint="eastAsia"/>
                <w:sz w:val="20"/>
              </w:rPr>
              <w:t xml:space="preserve"> </w:t>
            </w:r>
            <w:proofErr w:type="spellStart"/>
            <w:r w:rsidRPr="007D42A1">
              <w:rPr>
                <w:rFonts w:hint="eastAsia"/>
                <w:sz w:val="20"/>
              </w:rPr>
              <w:t>defined</w:t>
            </w:r>
            <w:proofErr w:type="spellEnd"/>
            <w:r w:rsidRPr="007D42A1">
              <w:rPr>
                <w:rFonts w:hint="eastAsia"/>
                <w:sz w:val="20"/>
              </w:rPr>
              <w:t xml:space="preserve"> in [8]</w:t>
            </w:r>
            <w:r w:rsidRPr="007D42A1">
              <w:rPr>
                <w:sz w:val="20"/>
              </w:rPr>
              <w:t xml:space="preserve">, Table 6.2-F </w:t>
            </w:r>
            <w:proofErr w:type="spellStart"/>
            <w:r w:rsidRPr="007D42A1">
              <w:rPr>
                <w:sz w:val="20"/>
                <w:highlight w:val="yellow"/>
              </w:rPr>
              <w:t>otherwise</w:t>
            </w:r>
            <w:proofErr w:type="spellEnd"/>
            <w:r w:rsidRPr="007D42A1">
              <w:rPr>
                <w:sz w:val="20"/>
                <w:highlight w:val="yellow"/>
              </w:rPr>
              <w:t>:</w:t>
            </w:r>
          </w:p>
          <w:p w14:paraId="043E973C" w14:textId="4C2AEF2C" w:rsidR="00981F1D" w:rsidRDefault="00981F1D" w:rsidP="00981F1D">
            <w:pPr>
              <w:pStyle w:val="B1"/>
            </w:pPr>
            <w:r w:rsidRPr="007D42A1">
              <w:rPr>
                <w:sz w:val="20"/>
              </w:rPr>
              <w:t>-</w:t>
            </w:r>
            <w:r w:rsidRPr="007D42A1">
              <w:rPr>
                <w:sz w:val="20"/>
              </w:rPr>
              <w:tab/>
            </w:r>
            <w:proofErr w:type="spellStart"/>
            <w:r w:rsidRPr="007D42A1">
              <w:rPr>
                <w:sz w:val="20"/>
              </w:rPr>
              <w:t>where</w:t>
            </w:r>
            <w:proofErr w:type="spellEnd"/>
            <w:r w:rsidRPr="007D42A1">
              <w:rPr>
                <w:sz w:val="20"/>
              </w:rPr>
              <w:t xml:space="preserve"> </w:t>
            </w:r>
            <w:r w:rsidRPr="007D42A1">
              <w:rPr>
                <w:noProof/>
                <w:position w:val="-12"/>
              </w:rPr>
              <w:drawing>
                <wp:inline distT="0" distB="0" distL="0" distR="0" wp14:anchorId="48F9F8B4" wp14:editId="549B4C07">
                  <wp:extent cx="29527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7D42A1">
              <w:rPr>
                <w:sz w:val="20"/>
              </w:rPr>
              <w:t xml:space="preserve"> = </w:t>
            </w:r>
            <w:r w:rsidRPr="007D42A1">
              <w:rPr>
                <w:noProof/>
                <w:position w:val="-16"/>
              </w:rPr>
              <w:drawing>
                <wp:inline distT="0" distB="0" distL="0" distR="0" wp14:anchorId="38C6E11D" wp14:editId="052EBF61">
                  <wp:extent cx="619125" cy="276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rsidRPr="007D42A1">
              <w:rPr>
                <w:sz w:val="20"/>
              </w:rPr>
              <w:t xml:space="preserve"> and </w:t>
            </w:r>
            <w:r w:rsidRPr="007D42A1">
              <w:rPr>
                <w:noProof/>
                <w:position w:val="-16"/>
              </w:rPr>
              <w:drawing>
                <wp:inline distT="0" distB="0" distL="0" distR="0" wp14:anchorId="40B6F991" wp14:editId="60147DA0">
                  <wp:extent cx="129540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400" cy="276225"/>
                          </a:xfrm>
                          <a:prstGeom prst="rect">
                            <a:avLst/>
                          </a:prstGeom>
                          <a:noFill/>
                          <a:ln>
                            <a:noFill/>
                          </a:ln>
                        </pic:spPr>
                      </pic:pic>
                    </a:graphicData>
                  </a:graphic>
                </wp:inline>
              </w:drawing>
            </w:r>
            <w:r w:rsidRPr="007D42A1">
              <w:rPr>
                <w:sz w:val="20"/>
              </w:rPr>
              <w:t xml:space="preserve"> </w:t>
            </w:r>
          </w:p>
        </w:tc>
      </w:tr>
    </w:tbl>
    <w:p w14:paraId="370FA313" w14:textId="10F0E4E0" w:rsidR="00981F1D" w:rsidRDefault="00981F1D" w:rsidP="00981F1D"/>
    <w:p w14:paraId="048918EE" w14:textId="1AA4D2F6" w:rsidR="007D42A1" w:rsidRDefault="007D42A1" w:rsidP="007D42A1">
      <w:pPr>
        <w:pStyle w:val="BodyText"/>
      </w:pPr>
      <w:r>
        <w:t xml:space="preserve">Also, in both the above paragraph and the below paragraph, “higher layers </w:t>
      </w:r>
      <w:proofErr w:type="gramStart"/>
      <w:r>
        <w:t>does</w:t>
      </w:r>
      <w:proofErr w:type="gramEnd"/>
      <w:r>
        <w:t xml:space="preserve"> not indicate” should be corrected to “higher layers do not indicate”.</w:t>
      </w:r>
    </w:p>
    <w:tbl>
      <w:tblPr>
        <w:tblStyle w:val="TableGrid"/>
        <w:tblW w:w="0" w:type="auto"/>
        <w:tblLook w:val="04A0" w:firstRow="1" w:lastRow="0" w:firstColumn="1" w:lastColumn="0" w:noHBand="0" w:noVBand="1"/>
      </w:tblPr>
      <w:tblGrid>
        <w:gridCol w:w="9629"/>
      </w:tblGrid>
      <w:tr w:rsidR="00981F1D" w14:paraId="38700461" w14:textId="77777777" w:rsidTr="00981F1D">
        <w:tc>
          <w:tcPr>
            <w:tcW w:w="9629" w:type="dxa"/>
          </w:tcPr>
          <w:p w14:paraId="656A41ED" w14:textId="01BBE18A" w:rsidR="00981F1D" w:rsidRPr="007D42A1" w:rsidRDefault="00981F1D" w:rsidP="00981F1D">
            <w:pPr>
              <w:pStyle w:val="B1"/>
              <w:rPr>
                <w:sz w:val="20"/>
              </w:rPr>
            </w:pPr>
            <w:r w:rsidRPr="007D42A1">
              <w:rPr>
                <w:sz w:val="20"/>
              </w:rPr>
              <w:lastRenderedPageBreak/>
              <w:t>-</w:t>
            </w:r>
            <w:r w:rsidRPr="007D42A1">
              <w:rPr>
                <w:sz w:val="20"/>
              </w:rPr>
              <w:tab/>
            </w:r>
            <w:proofErr w:type="spellStart"/>
            <w:r w:rsidRPr="007D42A1">
              <w:rPr>
                <w:sz w:val="20"/>
              </w:rPr>
              <w:t>For</w:t>
            </w:r>
            <w:proofErr w:type="spellEnd"/>
            <w:r w:rsidRPr="007D42A1">
              <w:rPr>
                <w:sz w:val="20"/>
              </w:rPr>
              <w:t xml:space="preserve"> </w:t>
            </w:r>
            <w:proofErr w:type="spellStart"/>
            <w:r w:rsidRPr="007D42A1">
              <w:rPr>
                <w:sz w:val="20"/>
              </w:rPr>
              <w:t>CEmodeB</w:t>
            </w:r>
            <w:proofErr w:type="spellEnd"/>
            <w:r w:rsidRPr="007D42A1">
              <w:rPr>
                <w:sz w:val="20"/>
              </w:rPr>
              <w:t xml:space="preserve">, </w:t>
            </w:r>
            <w:proofErr w:type="spellStart"/>
            <w:r w:rsidRPr="007D42A1">
              <w:rPr>
                <w:sz w:val="20"/>
              </w:rPr>
              <w:t>the</w:t>
            </w:r>
            <w:proofErr w:type="spellEnd"/>
            <w:r w:rsidRPr="007D42A1">
              <w:rPr>
                <w:sz w:val="20"/>
              </w:rPr>
              <w:t xml:space="preserve"> Msg3 PUSCH </w:t>
            </w:r>
            <w:proofErr w:type="spellStart"/>
            <w:r w:rsidRPr="007D42A1">
              <w:rPr>
                <w:sz w:val="20"/>
              </w:rPr>
              <w:t>narrowband</w:t>
            </w:r>
            <w:proofErr w:type="spellEnd"/>
            <w:r w:rsidRPr="007D42A1">
              <w:rPr>
                <w:sz w:val="20"/>
              </w:rPr>
              <w:t xml:space="preserve"> </w:t>
            </w:r>
            <w:proofErr w:type="spellStart"/>
            <w:r w:rsidRPr="007D42A1">
              <w:rPr>
                <w:sz w:val="20"/>
              </w:rPr>
              <w:t>index</w:t>
            </w:r>
            <w:proofErr w:type="spellEnd"/>
            <w:r w:rsidRPr="007D42A1">
              <w:rPr>
                <w:sz w:val="20"/>
              </w:rPr>
              <w:t xml:space="preserve"> </w:t>
            </w:r>
            <w:proofErr w:type="spellStart"/>
            <w:r w:rsidRPr="007D42A1">
              <w:rPr>
                <w:sz w:val="20"/>
              </w:rPr>
              <w:t>indicates</w:t>
            </w:r>
            <w:proofErr w:type="spellEnd"/>
            <w:r w:rsidRPr="007D42A1">
              <w:rPr>
                <w:sz w:val="20"/>
              </w:rPr>
              <w:t xml:space="preserve"> </w:t>
            </w:r>
            <w:proofErr w:type="spellStart"/>
            <w:r w:rsidRPr="007D42A1">
              <w:rPr>
                <w:sz w:val="20"/>
              </w:rPr>
              <w:t>the</w:t>
            </w:r>
            <w:proofErr w:type="spellEnd"/>
            <w:r w:rsidRPr="007D42A1">
              <w:rPr>
                <w:sz w:val="20"/>
              </w:rPr>
              <w:t xml:space="preserve"> </w:t>
            </w:r>
            <w:r w:rsidRPr="007D42A1">
              <w:rPr>
                <w:sz w:val="20"/>
                <w:lang w:val="en-US"/>
              </w:rPr>
              <w:t>narrowband to be used for first subframe of Msg3 PUSCH transmission</w:t>
            </w:r>
            <w:r w:rsidRPr="007D42A1">
              <w:rPr>
                <w:sz w:val="20"/>
              </w:rPr>
              <w:t xml:space="preserve"> </w:t>
            </w:r>
            <w:proofErr w:type="spellStart"/>
            <w:r w:rsidRPr="007D42A1">
              <w:rPr>
                <w:sz w:val="20"/>
              </w:rPr>
              <w:t>as</w:t>
            </w:r>
            <w:proofErr w:type="spellEnd"/>
            <w:r w:rsidRPr="007D42A1">
              <w:rPr>
                <w:sz w:val="20"/>
              </w:rPr>
              <w:t xml:space="preserve"> </w:t>
            </w:r>
            <w:proofErr w:type="spellStart"/>
            <w:r w:rsidRPr="007D42A1">
              <w:rPr>
                <w:sz w:val="20"/>
              </w:rPr>
              <w:t>given</w:t>
            </w:r>
            <w:proofErr w:type="spellEnd"/>
            <w:r w:rsidRPr="007D42A1">
              <w:rPr>
                <w:sz w:val="20"/>
              </w:rPr>
              <w:t xml:space="preserve"> in Table 6.2-A </w:t>
            </w:r>
            <w:proofErr w:type="spellStart"/>
            <w:r w:rsidRPr="007D42A1">
              <w:rPr>
                <w:sz w:val="20"/>
              </w:rPr>
              <w:t>if</w:t>
            </w:r>
            <w:proofErr w:type="spellEnd"/>
            <w:r w:rsidRPr="007D42A1">
              <w:rPr>
                <w:sz w:val="20"/>
              </w:rPr>
              <w:t xml:space="preserve"> </w:t>
            </w:r>
            <w:proofErr w:type="spellStart"/>
            <w:r w:rsidRPr="007D42A1">
              <w:rPr>
                <w:sz w:val="20"/>
              </w:rPr>
              <w:t>the</w:t>
            </w:r>
            <w:proofErr w:type="spellEnd"/>
            <w:r w:rsidRPr="007D42A1">
              <w:rPr>
                <w:sz w:val="20"/>
              </w:rPr>
              <w:t xml:space="preserve"> </w:t>
            </w:r>
            <w:proofErr w:type="spellStart"/>
            <w:r w:rsidRPr="007D42A1">
              <w:rPr>
                <w:sz w:val="20"/>
                <w:highlight w:val="yellow"/>
              </w:rPr>
              <w:t>higher</w:t>
            </w:r>
            <w:proofErr w:type="spellEnd"/>
            <w:r w:rsidRPr="007D42A1">
              <w:rPr>
                <w:sz w:val="20"/>
                <w:highlight w:val="yellow"/>
              </w:rPr>
              <w:t xml:space="preserve"> </w:t>
            </w:r>
            <w:proofErr w:type="spellStart"/>
            <w:r w:rsidRPr="007D42A1">
              <w:rPr>
                <w:sz w:val="20"/>
                <w:highlight w:val="yellow"/>
              </w:rPr>
              <w:t>layers</w:t>
            </w:r>
            <w:proofErr w:type="spellEnd"/>
            <w:r w:rsidRPr="007D42A1">
              <w:rPr>
                <w:sz w:val="20"/>
                <w:highlight w:val="yellow"/>
              </w:rPr>
              <w:t xml:space="preserve"> </w:t>
            </w:r>
            <w:proofErr w:type="spellStart"/>
            <w:r w:rsidRPr="007D42A1">
              <w:rPr>
                <w:sz w:val="20"/>
                <w:highlight w:val="yellow"/>
              </w:rPr>
              <w:t>does</w:t>
            </w:r>
            <w:proofErr w:type="spellEnd"/>
            <w:r w:rsidRPr="007D42A1">
              <w:rPr>
                <w:sz w:val="20"/>
                <w:highlight w:val="yellow"/>
              </w:rPr>
              <w:t xml:space="preserve"> not </w:t>
            </w:r>
            <w:proofErr w:type="spellStart"/>
            <w:r w:rsidRPr="007D42A1">
              <w:rPr>
                <w:sz w:val="20"/>
                <w:highlight w:val="yellow"/>
              </w:rPr>
              <w:t>indicate</w:t>
            </w:r>
            <w:proofErr w:type="spellEnd"/>
            <w:r w:rsidRPr="007D42A1">
              <w:rPr>
                <w:sz w:val="20"/>
              </w:rPr>
              <w:t xml:space="preserve"> EDT</w:t>
            </w:r>
            <w:r w:rsidRPr="007D42A1">
              <w:rPr>
                <w:rFonts w:hint="eastAsia"/>
                <w:sz w:val="20"/>
              </w:rPr>
              <w:t xml:space="preserve"> </w:t>
            </w:r>
            <w:proofErr w:type="spellStart"/>
            <w:r w:rsidRPr="007D42A1">
              <w:rPr>
                <w:sz w:val="20"/>
              </w:rPr>
              <w:t>to</w:t>
            </w:r>
            <w:proofErr w:type="spellEnd"/>
            <w:r w:rsidRPr="007D42A1">
              <w:rPr>
                <w:sz w:val="20"/>
              </w:rPr>
              <w:t xml:space="preserve"> </w:t>
            </w:r>
            <w:proofErr w:type="spellStart"/>
            <w:r w:rsidRPr="007D42A1">
              <w:rPr>
                <w:sz w:val="20"/>
              </w:rPr>
              <w:t>the</w:t>
            </w:r>
            <w:proofErr w:type="spellEnd"/>
            <w:r w:rsidRPr="007D42A1">
              <w:rPr>
                <w:sz w:val="20"/>
              </w:rPr>
              <w:t xml:space="preserve"> </w:t>
            </w:r>
            <w:proofErr w:type="spellStart"/>
            <w:r w:rsidRPr="007D42A1">
              <w:rPr>
                <w:sz w:val="20"/>
              </w:rPr>
              <w:t>physical</w:t>
            </w:r>
            <w:proofErr w:type="spellEnd"/>
            <w:r w:rsidRPr="007D42A1">
              <w:rPr>
                <w:sz w:val="20"/>
              </w:rPr>
              <w:t xml:space="preserve"> </w:t>
            </w:r>
            <w:proofErr w:type="spellStart"/>
            <w:r w:rsidRPr="007D42A1">
              <w:rPr>
                <w:sz w:val="20"/>
              </w:rPr>
              <w:t>layer</w:t>
            </w:r>
            <w:proofErr w:type="spellEnd"/>
            <w:r w:rsidRPr="007D42A1">
              <w:rPr>
                <w:rFonts w:hint="eastAsia"/>
                <w:sz w:val="20"/>
              </w:rPr>
              <w:t xml:space="preserve"> </w:t>
            </w:r>
            <w:proofErr w:type="spellStart"/>
            <w:r w:rsidRPr="007D42A1">
              <w:rPr>
                <w:rFonts w:hint="eastAsia"/>
                <w:sz w:val="20"/>
              </w:rPr>
              <w:t>as</w:t>
            </w:r>
            <w:proofErr w:type="spellEnd"/>
            <w:r w:rsidRPr="007D42A1">
              <w:rPr>
                <w:rFonts w:hint="eastAsia"/>
                <w:sz w:val="20"/>
              </w:rPr>
              <w:t xml:space="preserve"> </w:t>
            </w:r>
            <w:proofErr w:type="spellStart"/>
            <w:r w:rsidRPr="007D42A1">
              <w:rPr>
                <w:rFonts w:hint="eastAsia"/>
                <w:sz w:val="20"/>
              </w:rPr>
              <w:t>defined</w:t>
            </w:r>
            <w:proofErr w:type="spellEnd"/>
            <w:r w:rsidRPr="007D42A1">
              <w:rPr>
                <w:rFonts w:hint="eastAsia"/>
                <w:sz w:val="20"/>
              </w:rPr>
              <w:t xml:space="preserve"> in [8]</w:t>
            </w:r>
            <w:r w:rsidRPr="007D42A1">
              <w:rPr>
                <w:sz w:val="20"/>
              </w:rPr>
              <w:t xml:space="preserve">, Table 6.2-G </w:t>
            </w:r>
            <w:proofErr w:type="spellStart"/>
            <w:r w:rsidRPr="007D42A1">
              <w:rPr>
                <w:sz w:val="20"/>
              </w:rPr>
              <w:t>otherwise</w:t>
            </w:r>
            <w:proofErr w:type="spellEnd"/>
            <w:r w:rsidRPr="007D42A1">
              <w:rPr>
                <w:sz w:val="20"/>
              </w:rPr>
              <w:t xml:space="preserve">. </w:t>
            </w:r>
          </w:p>
        </w:tc>
      </w:tr>
    </w:tbl>
    <w:p w14:paraId="5E44715A" w14:textId="566C5AC8" w:rsidR="00981F1D" w:rsidRDefault="00981F1D" w:rsidP="00981F1D"/>
    <w:p w14:paraId="558CA03A" w14:textId="64FEFB13" w:rsidR="007D42A1" w:rsidRDefault="007D42A1" w:rsidP="007D42A1">
      <w:pPr>
        <w:pStyle w:val="Proposal"/>
      </w:pPr>
      <w:r>
        <w:t>In 36.213 section 6.2, remove the colon sign after the text “Table 6.2-F otherwise”.</w:t>
      </w:r>
    </w:p>
    <w:p w14:paraId="17CA852B" w14:textId="52BD165A" w:rsidR="007D42A1" w:rsidRPr="00981F1D" w:rsidRDefault="007D42A1" w:rsidP="007D42A1">
      <w:pPr>
        <w:pStyle w:val="Proposal"/>
      </w:pPr>
      <w:r>
        <w:t xml:space="preserve">In 36.213 section 6.2, in two places, change “higher layers </w:t>
      </w:r>
      <w:proofErr w:type="gramStart"/>
      <w:r>
        <w:t>does</w:t>
      </w:r>
      <w:proofErr w:type="gramEnd"/>
      <w:r>
        <w:t xml:space="preserve"> not indicate” to “higher layers do not indicate”.</w:t>
      </w:r>
    </w:p>
    <w:sectPr w:rsidR="007D42A1" w:rsidRPr="00981F1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9217C" w14:textId="77777777" w:rsidR="009201D6" w:rsidRDefault="009201D6">
      <w:r>
        <w:separator/>
      </w:r>
    </w:p>
  </w:endnote>
  <w:endnote w:type="continuationSeparator" w:id="0">
    <w:p w14:paraId="32BA296E" w14:textId="77777777" w:rsidR="009201D6" w:rsidRDefault="0092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A86C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381A6" w14:textId="77777777" w:rsidR="009201D6" w:rsidRDefault="009201D6">
      <w:r>
        <w:separator/>
      </w:r>
    </w:p>
  </w:footnote>
  <w:footnote w:type="continuationSeparator" w:id="0">
    <w:p w14:paraId="598A84F9" w14:textId="77777777" w:rsidR="009201D6" w:rsidRDefault="00920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DA46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EFDEBF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2"/>
  </w:num>
  <w:num w:numId="15">
    <w:abstractNumId w:val="16"/>
  </w:num>
  <w:num w:numId="16">
    <w:abstractNumId w:val="24"/>
  </w:num>
  <w:num w:numId="17">
    <w:abstractNumId w:val="8"/>
  </w:num>
  <w:num w:numId="18">
    <w:abstractNumId w:val="9"/>
  </w:num>
  <w:num w:numId="19">
    <w:abstractNumId w:val="5"/>
  </w:num>
  <w:num w:numId="20">
    <w:abstractNumId w:val="26"/>
  </w:num>
  <w:num w:numId="21">
    <w:abstractNumId w:val="13"/>
  </w:num>
  <w:num w:numId="22">
    <w:abstractNumId w:val="25"/>
  </w:num>
  <w:num w:numId="23">
    <w:abstractNumId w:val="4"/>
  </w:num>
  <w:num w:numId="24">
    <w:abstractNumId w:val="21"/>
  </w:num>
  <w:num w:numId="25">
    <w:abstractNumId w:val="7"/>
  </w:num>
  <w:num w:numId="26">
    <w:abstractNumId w:val="17"/>
  </w:num>
  <w:num w:numId="27">
    <w:abstractNumId w:val="6"/>
  </w:num>
  <w:num w:numId="2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E48"/>
    <w:rsid w:val="000006E1"/>
    <w:rsid w:val="00002A37"/>
    <w:rsid w:val="0000564C"/>
    <w:rsid w:val="00006446"/>
    <w:rsid w:val="00006896"/>
    <w:rsid w:val="00007CDC"/>
    <w:rsid w:val="00011B28"/>
    <w:rsid w:val="00015D15"/>
    <w:rsid w:val="00023C2C"/>
    <w:rsid w:val="0002564D"/>
    <w:rsid w:val="00025ECA"/>
    <w:rsid w:val="000325B8"/>
    <w:rsid w:val="0003472E"/>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F9B"/>
    <w:rsid w:val="0009510F"/>
    <w:rsid w:val="000A1B7B"/>
    <w:rsid w:val="000A56F2"/>
    <w:rsid w:val="000B2719"/>
    <w:rsid w:val="000B3A8F"/>
    <w:rsid w:val="000B4AB9"/>
    <w:rsid w:val="000B58C3"/>
    <w:rsid w:val="000B61E9"/>
    <w:rsid w:val="000C165A"/>
    <w:rsid w:val="000C2E19"/>
    <w:rsid w:val="000C6680"/>
    <w:rsid w:val="000D0D07"/>
    <w:rsid w:val="000D44AD"/>
    <w:rsid w:val="000D4797"/>
    <w:rsid w:val="000E0527"/>
    <w:rsid w:val="000E1E92"/>
    <w:rsid w:val="000E6D0D"/>
    <w:rsid w:val="000F06D6"/>
    <w:rsid w:val="000F0EB1"/>
    <w:rsid w:val="000F1106"/>
    <w:rsid w:val="000F3BE9"/>
    <w:rsid w:val="000F3F6C"/>
    <w:rsid w:val="000F51D7"/>
    <w:rsid w:val="000F6DF3"/>
    <w:rsid w:val="001005FF"/>
    <w:rsid w:val="001062FB"/>
    <w:rsid w:val="001063E6"/>
    <w:rsid w:val="00113CF4"/>
    <w:rsid w:val="00114E22"/>
    <w:rsid w:val="001153EA"/>
    <w:rsid w:val="00115643"/>
    <w:rsid w:val="00116765"/>
    <w:rsid w:val="001219F5"/>
    <w:rsid w:val="00121A20"/>
    <w:rsid w:val="0012377F"/>
    <w:rsid w:val="00124314"/>
    <w:rsid w:val="00126B4A"/>
    <w:rsid w:val="00132FD0"/>
    <w:rsid w:val="00133A35"/>
    <w:rsid w:val="001344C0"/>
    <w:rsid w:val="001346FA"/>
    <w:rsid w:val="00135252"/>
    <w:rsid w:val="00137AB5"/>
    <w:rsid w:val="00137F0B"/>
    <w:rsid w:val="00144F6B"/>
    <w:rsid w:val="0015030D"/>
    <w:rsid w:val="00151E23"/>
    <w:rsid w:val="001526E0"/>
    <w:rsid w:val="001551B5"/>
    <w:rsid w:val="001659C1"/>
    <w:rsid w:val="00170320"/>
    <w:rsid w:val="00173A8E"/>
    <w:rsid w:val="0017502C"/>
    <w:rsid w:val="0018143F"/>
    <w:rsid w:val="00181FF8"/>
    <w:rsid w:val="00187F35"/>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F9E"/>
    <w:rsid w:val="001F54C5"/>
    <w:rsid w:val="001F662C"/>
    <w:rsid w:val="001F7074"/>
    <w:rsid w:val="00200490"/>
    <w:rsid w:val="00201F3A"/>
    <w:rsid w:val="00203F96"/>
    <w:rsid w:val="0020514E"/>
    <w:rsid w:val="002069B2"/>
    <w:rsid w:val="00207FA3"/>
    <w:rsid w:val="00214DA8"/>
    <w:rsid w:val="00215423"/>
    <w:rsid w:val="002158FA"/>
    <w:rsid w:val="002166FE"/>
    <w:rsid w:val="00220600"/>
    <w:rsid w:val="002224DB"/>
    <w:rsid w:val="00223FCB"/>
    <w:rsid w:val="002252C3"/>
    <w:rsid w:val="00225C54"/>
    <w:rsid w:val="00227E3B"/>
    <w:rsid w:val="00230765"/>
    <w:rsid w:val="00230D18"/>
    <w:rsid w:val="002319E4"/>
    <w:rsid w:val="00235632"/>
    <w:rsid w:val="00235872"/>
    <w:rsid w:val="00241559"/>
    <w:rsid w:val="002435B3"/>
    <w:rsid w:val="002458EB"/>
    <w:rsid w:val="002500C8"/>
    <w:rsid w:val="00257543"/>
    <w:rsid w:val="002617E7"/>
    <w:rsid w:val="00263AD5"/>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956"/>
    <w:rsid w:val="002C41E6"/>
    <w:rsid w:val="002D068A"/>
    <w:rsid w:val="002D071A"/>
    <w:rsid w:val="002D34B2"/>
    <w:rsid w:val="002D48B0"/>
    <w:rsid w:val="002D5B37"/>
    <w:rsid w:val="002D7637"/>
    <w:rsid w:val="002E129E"/>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2E93"/>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5D4"/>
    <w:rsid w:val="003A2A0F"/>
    <w:rsid w:val="003A45A1"/>
    <w:rsid w:val="003A5B0A"/>
    <w:rsid w:val="003A6BAC"/>
    <w:rsid w:val="003A70A4"/>
    <w:rsid w:val="003A7EF3"/>
    <w:rsid w:val="003B159C"/>
    <w:rsid w:val="003B369F"/>
    <w:rsid w:val="003B36A3"/>
    <w:rsid w:val="003B64BB"/>
    <w:rsid w:val="003B7FE5"/>
    <w:rsid w:val="003C11C8"/>
    <w:rsid w:val="003C2702"/>
    <w:rsid w:val="003C34EB"/>
    <w:rsid w:val="003C7806"/>
    <w:rsid w:val="003D109F"/>
    <w:rsid w:val="003D2478"/>
    <w:rsid w:val="003D28CA"/>
    <w:rsid w:val="003D3C45"/>
    <w:rsid w:val="003D5B1F"/>
    <w:rsid w:val="003E15FA"/>
    <w:rsid w:val="003E55E4"/>
    <w:rsid w:val="003E74E3"/>
    <w:rsid w:val="003F05C7"/>
    <w:rsid w:val="003F2CD4"/>
    <w:rsid w:val="003F6BBE"/>
    <w:rsid w:val="004000E8"/>
    <w:rsid w:val="00402E2B"/>
    <w:rsid w:val="00404315"/>
    <w:rsid w:val="0040512B"/>
    <w:rsid w:val="00405CA5"/>
    <w:rsid w:val="00407CD3"/>
    <w:rsid w:val="00410134"/>
    <w:rsid w:val="00410B72"/>
    <w:rsid w:val="00410F18"/>
    <w:rsid w:val="0041263E"/>
    <w:rsid w:val="00412CD6"/>
    <w:rsid w:val="00413AAC"/>
    <w:rsid w:val="00413E92"/>
    <w:rsid w:val="00421105"/>
    <w:rsid w:val="00421E88"/>
    <w:rsid w:val="00422AA4"/>
    <w:rsid w:val="004242F4"/>
    <w:rsid w:val="00427248"/>
    <w:rsid w:val="00437447"/>
    <w:rsid w:val="00441A92"/>
    <w:rsid w:val="00442079"/>
    <w:rsid w:val="004431DC"/>
    <w:rsid w:val="00444F56"/>
    <w:rsid w:val="00446488"/>
    <w:rsid w:val="004517AA"/>
    <w:rsid w:val="00452CAC"/>
    <w:rsid w:val="00457565"/>
    <w:rsid w:val="00457B71"/>
    <w:rsid w:val="00461AA6"/>
    <w:rsid w:val="004669E2"/>
    <w:rsid w:val="00470C31"/>
    <w:rsid w:val="00471DE0"/>
    <w:rsid w:val="004734D0"/>
    <w:rsid w:val="0047556B"/>
    <w:rsid w:val="004773E4"/>
    <w:rsid w:val="00477768"/>
    <w:rsid w:val="0049063B"/>
    <w:rsid w:val="00492BC5"/>
    <w:rsid w:val="004964F1"/>
    <w:rsid w:val="004A16BC"/>
    <w:rsid w:val="004A2B94"/>
    <w:rsid w:val="004B6F6A"/>
    <w:rsid w:val="004B7C0C"/>
    <w:rsid w:val="004C1679"/>
    <w:rsid w:val="004C3898"/>
    <w:rsid w:val="004C4719"/>
    <w:rsid w:val="004D2B4B"/>
    <w:rsid w:val="004D36B1"/>
    <w:rsid w:val="004D7EBD"/>
    <w:rsid w:val="004E13FE"/>
    <w:rsid w:val="004E2680"/>
    <w:rsid w:val="004E28F9"/>
    <w:rsid w:val="004E462E"/>
    <w:rsid w:val="004E4E65"/>
    <w:rsid w:val="004E56DC"/>
    <w:rsid w:val="004E76F4"/>
    <w:rsid w:val="004F0B4E"/>
    <w:rsid w:val="004F0B6C"/>
    <w:rsid w:val="004F2078"/>
    <w:rsid w:val="004F4DA3"/>
    <w:rsid w:val="00506557"/>
    <w:rsid w:val="0050677A"/>
    <w:rsid w:val="005108D8"/>
    <w:rsid w:val="005116F9"/>
    <w:rsid w:val="00511925"/>
    <w:rsid w:val="005153A7"/>
    <w:rsid w:val="005219CF"/>
    <w:rsid w:val="005261F1"/>
    <w:rsid w:val="00526630"/>
    <w:rsid w:val="0052737F"/>
    <w:rsid w:val="00534B59"/>
    <w:rsid w:val="00536759"/>
    <w:rsid w:val="00537C62"/>
    <w:rsid w:val="00546970"/>
    <w:rsid w:val="00546F6B"/>
    <w:rsid w:val="00554E19"/>
    <w:rsid w:val="0056121F"/>
    <w:rsid w:val="00572505"/>
    <w:rsid w:val="00582762"/>
    <w:rsid w:val="00582809"/>
    <w:rsid w:val="00582B5A"/>
    <w:rsid w:val="0058798C"/>
    <w:rsid w:val="005900FA"/>
    <w:rsid w:val="005935A4"/>
    <w:rsid w:val="005948C2"/>
    <w:rsid w:val="00595DCA"/>
    <w:rsid w:val="0059779B"/>
    <w:rsid w:val="005A209A"/>
    <w:rsid w:val="005A662D"/>
    <w:rsid w:val="005B1409"/>
    <w:rsid w:val="005B35D7"/>
    <w:rsid w:val="005B392A"/>
    <w:rsid w:val="005B3AA3"/>
    <w:rsid w:val="005B50F9"/>
    <w:rsid w:val="005B6F83"/>
    <w:rsid w:val="005C6581"/>
    <w:rsid w:val="005C74FB"/>
    <w:rsid w:val="005D1602"/>
    <w:rsid w:val="005E385F"/>
    <w:rsid w:val="005E5B81"/>
    <w:rsid w:val="005F2CB1"/>
    <w:rsid w:val="005F3025"/>
    <w:rsid w:val="005F618C"/>
    <w:rsid w:val="005F6C6A"/>
    <w:rsid w:val="005F70BD"/>
    <w:rsid w:val="0060283C"/>
    <w:rsid w:val="00604F14"/>
    <w:rsid w:val="00611B83"/>
    <w:rsid w:val="00613257"/>
    <w:rsid w:val="00620A71"/>
    <w:rsid w:val="00620D80"/>
    <w:rsid w:val="00623181"/>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F4C"/>
    <w:rsid w:val="006655EE"/>
    <w:rsid w:val="00667EE7"/>
    <w:rsid w:val="006702FC"/>
    <w:rsid w:val="00670922"/>
    <w:rsid w:val="00670BE1"/>
    <w:rsid w:val="0067218F"/>
    <w:rsid w:val="006741F2"/>
    <w:rsid w:val="00674CC3"/>
    <w:rsid w:val="00675C72"/>
    <w:rsid w:val="006771F9"/>
    <w:rsid w:val="006776D7"/>
    <w:rsid w:val="00681003"/>
    <w:rsid w:val="006817C9"/>
    <w:rsid w:val="00682781"/>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1F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114"/>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3DDD"/>
    <w:rsid w:val="007B50AE"/>
    <w:rsid w:val="007B51DF"/>
    <w:rsid w:val="007C05DD"/>
    <w:rsid w:val="007C3D18"/>
    <w:rsid w:val="007C60BF"/>
    <w:rsid w:val="007C6A07"/>
    <w:rsid w:val="007C75A1"/>
    <w:rsid w:val="007C77A5"/>
    <w:rsid w:val="007D04E5"/>
    <w:rsid w:val="007D42A1"/>
    <w:rsid w:val="007D5901"/>
    <w:rsid w:val="007D7526"/>
    <w:rsid w:val="007E17D2"/>
    <w:rsid w:val="007E2E39"/>
    <w:rsid w:val="007E4610"/>
    <w:rsid w:val="007E4715"/>
    <w:rsid w:val="007E505B"/>
    <w:rsid w:val="007E7091"/>
    <w:rsid w:val="00803FAE"/>
    <w:rsid w:val="0080605F"/>
    <w:rsid w:val="00807786"/>
    <w:rsid w:val="00811FCB"/>
    <w:rsid w:val="00812785"/>
    <w:rsid w:val="008158D6"/>
    <w:rsid w:val="00817196"/>
    <w:rsid w:val="008235DB"/>
    <w:rsid w:val="00824AB4"/>
    <w:rsid w:val="00825C42"/>
    <w:rsid w:val="00825D25"/>
    <w:rsid w:val="00827D6F"/>
    <w:rsid w:val="008376AC"/>
    <w:rsid w:val="00840978"/>
    <w:rsid w:val="008444E8"/>
    <w:rsid w:val="00844E80"/>
    <w:rsid w:val="00846FE7"/>
    <w:rsid w:val="00856911"/>
    <w:rsid w:val="008677FD"/>
    <w:rsid w:val="008706D4"/>
    <w:rsid w:val="00870F8A"/>
    <w:rsid w:val="008719A4"/>
    <w:rsid w:val="00871D23"/>
    <w:rsid w:val="00874312"/>
    <w:rsid w:val="0087437C"/>
    <w:rsid w:val="00875CD7"/>
    <w:rsid w:val="00876B4D"/>
    <w:rsid w:val="00877D26"/>
    <w:rsid w:val="00877F18"/>
    <w:rsid w:val="00881C5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03FA"/>
    <w:rsid w:val="00902350"/>
    <w:rsid w:val="0090336B"/>
    <w:rsid w:val="00903E30"/>
    <w:rsid w:val="009053AA"/>
    <w:rsid w:val="00906939"/>
    <w:rsid w:val="00910B7D"/>
    <w:rsid w:val="00911DFB"/>
    <w:rsid w:val="009131DB"/>
    <w:rsid w:val="009139D9"/>
    <w:rsid w:val="00914AD8"/>
    <w:rsid w:val="00916079"/>
    <w:rsid w:val="00917CE9"/>
    <w:rsid w:val="009201D6"/>
    <w:rsid w:val="00920BF2"/>
    <w:rsid w:val="00922010"/>
    <w:rsid w:val="00923A6E"/>
    <w:rsid w:val="00931BD9"/>
    <w:rsid w:val="009358AC"/>
    <w:rsid w:val="009368F3"/>
    <w:rsid w:val="00941636"/>
    <w:rsid w:val="00943742"/>
    <w:rsid w:val="00945C05"/>
    <w:rsid w:val="00946945"/>
    <w:rsid w:val="00947713"/>
    <w:rsid w:val="00950DE7"/>
    <w:rsid w:val="00953920"/>
    <w:rsid w:val="00953D47"/>
    <w:rsid w:val="00954081"/>
    <w:rsid w:val="0095681E"/>
    <w:rsid w:val="009572D4"/>
    <w:rsid w:val="00961921"/>
    <w:rsid w:val="0096430A"/>
    <w:rsid w:val="009648C1"/>
    <w:rsid w:val="0096554B"/>
    <w:rsid w:val="0096584A"/>
    <w:rsid w:val="00971F08"/>
    <w:rsid w:val="0097603D"/>
    <w:rsid w:val="00976949"/>
    <w:rsid w:val="00980477"/>
    <w:rsid w:val="00981F1D"/>
    <w:rsid w:val="00985253"/>
    <w:rsid w:val="009853B3"/>
    <w:rsid w:val="00990630"/>
    <w:rsid w:val="00991761"/>
    <w:rsid w:val="00994DCA"/>
    <w:rsid w:val="009960EC"/>
    <w:rsid w:val="009970DD"/>
    <w:rsid w:val="00997E10"/>
    <w:rsid w:val="009A0FBA"/>
    <w:rsid w:val="009A1601"/>
    <w:rsid w:val="009A2491"/>
    <w:rsid w:val="009A3BB6"/>
    <w:rsid w:val="009A462D"/>
    <w:rsid w:val="009A5CBA"/>
    <w:rsid w:val="009B1F30"/>
    <w:rsid w:val="009B3AC2"/>
    <w:rsid w:val="009B4DF4"/>
    <w:rsid w:val="009B564E"/>
    <w:rsid w:val="009B7E87"/>
    <w:rsid w:val="009C0169"/>
    <w:rsid w:val="009C403E"/>
    <w:rsid w:val="009C4679"/>
    <w:rsid w:val="009C613D"/>
    <w:rsid w:val="009D4FF0"/>
    <w:rsid w:val="009D703C"/>
    <w:rsid w:val="009D718F"/>
    <w:rsid w:val="009E068F"/>
    <w:rsid w:val="009E0D49"/>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310B"/>
    <w:rsid w:val="00B157F9"/>
    <w:rsid w:val="00B20256"/>
    <w:rsid w:val="00B20D09"/>
    <w:rsid w:val="00B2763F"/>
    <w:rsid w:val="00B27AAC"/>
    <w:rsid w:val="00B30929"/>
    <w:rsid w:val="00B30C45"/>
    <w:rsid w:val="00B372AA"/>
    <w:rsid w:val="00B40445"/>
    <w:rsid w:val="00B409E0"/>
    <w:rsid w:val="00B41888"/>
    <w:rsid w:val="00B45A52"/>
    <w:rsid w:val="00B46175"/>
    <w:rsid w:val="00B548B7"/>
    <w:rsid w:val="00B664C7"/>
    <w:rsid w:val="00B739F6"/>
    <w:rsid w:val="00B73E48"/>
    <w:rsid w:val="00B81A6C"/>
    <w:rsid w:val="00B85DE5"/>
    <w:rsid w:val="00B90F73"/>
    <w:rsid w:val="00B93B59"/>
    <w:rsid w:val="00B9406A"/>
    <w:rsid w:val="00BA2280"/>
    <w:rsid w:val="00BA2A08"/>
    <w:rsid w:val="00BA56D2"/>
    <w:rsid w:val="00BA76E0"/>
    <w:rsid w:val="00BB2A25"/>
    <w:rsid w:val="00BB50CA"/>
    <w:rsid w:val="00BB51E9"/>
    <w:rsid w:val="00BC0FDC"/>
    <w:rsid w:val="00BC3053"/>
    <w:rsid w:val="00BC4D2E"/>
    <w:rsid w:val="00BD48AC"/>
    <w:rsid w:val="00BD5F1A"/>
    <w:rsid w:val="00BD77C3"/>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9E3"/>
    <w:rsid w:val="00C72EF4"/>
    <w:rsid w:val="00C744FE"/>
    <w:rsid w:val="00C74632"/>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4AE"/>
    <w:rsid w:val="00CD1188"/>
    <w:rsid w:val="00CD2ED1"/>
    <w:rsid w:val="00CD337B"/>
    <w:rsid w:val="00CD60EF"/>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665"/>
    <w:rsid w:val="00D40B33"/>
    <w:rsid w:val="00D4318F"/>
    <w:rsid w:val="00D438BF"/>
    <w:rsid w:val="00D440F8"/>
    <w:rsid w:val="00D51EC6"/>
    <w:rsid w:val="00D546FF"/>
    <w:rsid w:val="00D55AD5"/>
    <w:rsid w:val="00D576CA"/>
    <w:rsid w:val="00D61AF5"/>
    <w:rsid w:val="00D652B5"/>
    <w:rsid w:val="00D66155"/>
    <w:rsid w:val="00D6741B"/>
    <w:rsid w:val="00D708B0"/>
    <w:rsid w:val="00D77B1D"/>
    <w:rsid w:val="00D8021F"/>
    <w:rsid w:val="00D80383"/>
    <w:rsid w:val="00D823C6"/>
    <w:rsid w:val="00D8327F"/>
    <w:rsid w:val="00D86CA3"/>
    <w:rsid w:val="00D871CE"/>
    <w:rsid w:val="00D9196D"/>
    <w:rsid w:val="00D92982"/>
    <w:rsid w:val="00DA27D6"/>
    <w:rsid w:val="00DA305E"/>
    <w:rsid w:val="00DA5417"/>
    <w:rsid w:val="00DA56E8"/>
    <w:rsid w:val="00DB0A9F"/>
    <w:rsid w:val="00DB377D"/>
    <w:rsid w:val="00DC2D36"/>
    <w:rsid w:val="00DC53EF"/>
    <w:rsid w:val="00DE5608"/>
    <w:rsid w:val="00DE58D0"/>
    <w:rsid w:val="00DE654F"/>
    <w:rsid w:val="00DF0B6E"/>
    <w:rsid w:val="00DF15E0"/>
    <w:rsid w:val="00DF37A0"/>
    <w:rsid w:val="00DF4C8D"/>
    <w:rsid w:val="00E01634"/>
    <w:rsid w:val="00E110E7"/>
    <w:rsid w:val="00E11B20"/>
    <w:rsid w:val="00E1277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3F3"/>
    <w:rsid w:val="00E57565"/>
    <w:rsid w:val="00E63838"/>
    <w:rsid w:val="00E64434"/>
    <w:rsid w:val="00E65370"/>
    <w:rsid w:val="00E67C51"/>
    <w:rsid w:val="00E72EFC"/>
    <w:rsid w:val="00E758EC"/>
    <w:rsid w:val="00E8234C"/>
    <w:rsid w:val="00E83AA9"/>
    <w:rsid w:val="00E85928"/>
    <w:rsid w:val="00E87822"/>
    <w:rsid w:val="00E87928"/>
    <w:rsid w:val="00E90395"/>
    <w:rsid w:val="00E903F9"/>
    <w:rsid w:val="00E90E49"/>
    <w:rsid w:val="00E917F9"/>
    <w:rsid w:val="00E9291C"/>
    <w:rsid w:val="00E93FFE"/>
    <w:rsid w:val="00E94F8A"/>
    <w:rsid w:val="00EA7A41"/>
    <w:rsid w:val="00EB077B"/>
    <w:rsid w:val="00EB4EA2"/>
    <w:rsid w:val="00EC24D5"/>
    <w:rsid w:val="00EC27C6"/>
    <w:rsid w:val="00EC3368"/>
    <w:rsid w:val="00EC4207"/>
    <w:rsid w:val="00EC5653"/>
    <w:rsid w:val="00EC71CE"/>
    <w:rsid w:val="00ED1006"/>
    <w:rsid w:val="00ED1249"/>
    <w:rsid w:val="00EF18FE"/>
    <w:rsid w:val="00EF5787"/>
    <w:rsid w:val="00EF60D0"/>
    <w:rsid w:val="00F0086F"/>
    <w:rsid w:val="00F0528D"/>
    <w:rsid w:val="00F06C67"/>
    <w:rsid w:val="00F06DFD"/>
    <w:rsid w:val="00F071D1"/>
    <w:rsid w:val="00F07533"/>
    <w:rsid w:val="00F10629"/>
    <w:rsid w:val="00F107DD"/>
    <w:rsid w:val="00F15FA5"/>
    <w:rsid w:val="00F209B7"/>
    <w:rsid w:val="00F20D28"/>
    <w:rsid w:val="00F2376F"/>
    <w:rsid w:val="00F243D8"/>
    <w:rsid w:val="00F30828"/>
    <w:rsid w:val="00F313D6"/>
    <w:rsid w:val="00F35443"/>
    <w:rsid w:val="00F36C93"/>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878"/>
    <w:rsid w:val="00FB4C80"/>
    <w:rsid w:val="00FB6A6A"/>
    <w:rsid w:val="00FC7429"/>
    <w:rsid w:val="00FD07F6"/>
    <w:rsid w:val="00FD1EC8"/>
    <w:rsid w:val="00FD47ED"/>
    <w:rsid w:val="00FD5130"/>
    <w:rsid w:val="00FD74DB"/>
    <w:rsid w:val="00FD7660"/>
    <w:rsid w:val="00FE0655"/>
    <w:rsid w:val="00FE2365"/>
    <w:rsid w:val="00FE37D7"/>
    <w:rsid w:val="00FE4C7B"/>
    <w:rsid w:val="00FE7336"/>
    <w:rsid w:val="00FE787C"/>
    <w:rsid w:val="00FF45A5"/>
    <w:rsid w:val="00FF5C91"/>
    <w:rsid w:val="00FF60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5B75F5"/>
  <w15:chartTrackingRefBased/>
  <w15:docId w15:val="{3E8419A3-DA02-4B2A-9851-BA91B3001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461AA6"/>
    <w:rPr>
      <w:color w:val="605E5C"/>
      <w:shd w:val="clear" w:color="auto" w:fill="E1DFDD"/>
    </w:rPr>
  </w:style>
  <w:style w:type="paragraph" w:styleId="Revision">
    <w:name w:val="Revision"/>
    <w:hidden/>
    <w:uiPriority w:val="99"/>
    <w:semiHidden/>
    <w:rsid w:val="00B1310B"/>
    <w:rPr>
      <w:rFonts w:ascii="Times New Roman" w:hAnsi="Times New Roman"/>
      <w:lang w:eastAsia="ja-JP"/>
    </w:rPr>
  </w:style>
  <w:style w:type="paragraph" w:customStyle="1" w:styleId="textintend2">
    <w:name w:val="text intend 2"/>
    <w:basedOn w:val="Normal"/>
    <w:rsid w:val="00981F1D"/>
    <w:pPr>
      <w:numPr>
        <w:numId w:val="28"/>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36_series/36.213/36213-f20.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SVN\swea\Swea-L1\Working%20Areas\RAN1_94%20Gothenburg\Contributions_LTE\MTC\R1-1808033%20WI%20work%20plan%20for%20Rel-16%20LTE-MT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51827-0CAD-440E-98F2-EC4E5FF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R1-1808033 WI work plan for Rel-16 LTE-MTC.dotx</Template>
  <TotalTime>121</TotalTime>
  <Pages>1</Pages>
  <Words>846</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102</cp:revision>
  <cp:lastPrinted>2008-01-31T07:09:00Z</cp:lastPrinted>
  <dcterms:created xsi:type="dcterms:W3CDTF">2018-08-08T15:21:00Z</dcterms:created>
  <dcterms:modified xsi:type="dcterms:W3CDTF">2018-08-10T21:08:00Z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